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1E249C">
      <w:pPr>
        <w:pStyle w:val="papertitle"/>
        <w:rPr>
          <w:b/>
          <w:sz w:val="28"/>
          <w:szCs w:val="28"/>
        </w:rPr>
      </w:pPr>
      <w:r>
        <w:rPr>
          <w:b/>
          <w:sz w:val="28"/>
          <w:szCs w:val="28"/>
        </w:rPr>
        <w:t>Service-</w:t>
      </w:r>
      <w:r w:rsidR="00A04082">
        <w:rPr>
          <w:b/>
          <w:sz w:val="28"/>
          <w:szCs w:val="28"/>
        </w:rPr>
        <w:t>Oriented Architecture for Biosequence Analysis Workflow</w:t>
      </w:r>
    </w:p>
    <w:p w:rsidR="00AF4B86" w:rsidRDefault="00AF4B86" w:rsidP="00AF4B86">
      <w:pPr>
        <w:pStyle w:val="Author"/>
      </w:pPr>
      <w:r>
        <w:t>Adam Hughes</w:t>
      </w:r>
      <w:r w:rsidR="00620743" w:rsidRPr="00620743">
        <w:rPr>
          <w:vertAlign w:val="superscript"/>
        </w:rPr>
        <w:t>*</w:t>
      </w:r>
      <w:r>
        <w:t>, Saliya Ekanayake</w:t>
      </w:r>
      <w:r w:rsidR="00620743" w:rsidRPr="00620743">
        <w:rPr>
          <w:vertAlign w:val="superscript"/>
        </w:rPr>
        <w:t>*†</w:t>
      </w:r>
      <w:r>
        <w:t>, Judy Qiu</w:t>
      </w:r>
      <w:r w:rsidR="00620743" w:rsidRPr="00620743">
        <w:rPr>
          <w:vertAlign w:val="superscript"/>
        </w:rPr>
        <w:t>*†</w:t>
      </w:r>
      <w:r>
        <w:t>, and Geoffrey Fox</w:t>
      </w:r>
      <w:r w:rsidR="00620743" w:rsidRPr="00620743">
        <w:rPr>
          <w:vertAlign w:val="superscript"/>
        </w:rPr>
        <w:t>*†</w:t>
      </w:r>
    </w:p>
    <w:p w:rsidR="00AF4B86" w:rsidRDefault="00620743" w:rsidP="00AF4B86">
      <w:pPr>
        <w:pStyle w:val="Affiliation"/>
      </w:pPr>
      <w:r w:rsidRPr="00620743">
        <w:rPr>
          <w:vertAlign w:val="superscript"/>
        </w:rPr>
        <w:t>*</w:t>
      </w:r>
      <w:r w:rsidR="00AF4B86">
        <w:t>Pervasive Technology Institute</w:t>
      </w:r>
    </w:p>
    <w:p w:rsidR="00AF4B86" w:rsidRPr="005B520E" w:rsidRDefault="00620743" w:rsidP="00AF4B86">
      <w:pPr>
        <w:pStyle w:val="Affiliation"/>
      </w:pPr>
      <w:r w:rsidRPr="00620743">
        <w:rPr>
          <w:vertAlign w:val="superscript"/>
        </w:rPr>
        <w:t>†</w:t>
      </w:r>
      <w:r w:rsidR="00AF4B86">
        <w:t>School of Informatics and Computing</w:t>
      </w:r>
    </w:p>
    <w:p w:rsidR="00AF4B86" w:rsidRPr="005B520E" w:rsidRDefault="00AF4B86" w:rsidP="00AF4B86">
      <w:pPr>
        <w:pStyle w:val="Affiliation"/>
      </w:pPr>
      <w:r>
        <w:t>Indiana University, Bloomington IN, USA</w:t>
      </w:r>
    </w:p>
    <w:p w:rsidR="00AF4B86" w:rsidRPr="005B520E" w:rsidRDefault="00AF4B86" w:rsidP="00AF4B86">
      <w:pPr>
        <w:pStyle w:val="Affiliation"/>
      </w:pPr>
      <w:r>
        <w:t>{adalhugh, sekanaya, xqiu, gcf@indiana.edu}</w:t>
      </w:r>
    </w:p>
    <w:p w:rsidR="009303D9" w:rsidRPr="00037477" w:rsidRDefault="009303D9">
      <w:pPr>
        <w:pStyle w:val="papersubtitle"/>
        <w:rPr>
          <w:sz w:val="24"/>
          <w:szCs w:val="24"/>
        </w:rPr>
      </w:pPr>
    </w:p>
    <w:p w:rsidR="009303D9" w:rsidRPr="005B520E" w:rsidRDefault="009303D9"/>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1E3999" w:rsidRDefault="009303D9" w:rsidP="00BD29FC">
      <w:pPr>
        <w:pStyle w:val="Abstract"/>
      </w:pPr>
      <w:r>
        <w:rPr>
          <w:i/>
          <w:iCs/>
        </w:rPr>
        <w:lastRenderedPageBreak/>
        <w:t>Abstract</w:t>
      </w:r>
      <w:r>
        <w:t>—</w:t>
      </w:r>
      <w:r w:rsidR="00BD29FC" w:rsidRPr="00BD29FC">
        <w:t xml:space="preserve"> </w:t>
      </w:r>
      <w:r w:rsidR="003C5102">
        <w:t xml:space="preserve">The advent and continued refinement of modern high-throughput sequencing techniques have led to a proliferation of raw biosequence data, as labs routinely generate millions of sequence reads in a matter of days.    </w:t>
      </w:r>
      <w:r w:rsidR="00AB27FF">
        <w:t>Analyzing these results is beyond the computational capacity of single-lab resources, necessitating the use of high-performance compu</w:t>
      </w:r>
      <w:r w:rsidR="00197CC1">
        <w:t xml:space="preserve">ting resources, which presents </w:t>
      </w:r>
      <w:r w:rsidR="00AB27FF">
        <w:t xml:space="preserve">significant overhead in terms of manual data manipulation and job monitoring.  To overcome this bottleneck, </w:t>
      </w:r>
      <w:r w:rsidR="001E3999">
        <w:t xml:space="preserve">application pipelines are being developed in conjunction with a generalized service-based portal system to abstract the details of job creation and </w:t>
      </w:r>
      <w:r w:rsidR="00197CC1">
        <w:t>management</w:t>
      </w:r>
      <w:r w:rsidR="00FA413F">
        <w:t>.  This infrastructure will eventually provide service interfaces to map-reduce technologies, leveraging the</w:t>
      </w:r>
      <w:r w:rsidR="007D5194">
        <w:t xml:space="preserve"> computing resources offered by traditional grids and clusters, as well as emerging Cloud platforms. </w:t>
      </w:r>
    </w:p>
    <w:p w:rsidR="009303D9" w:rsidRDefault="00BD29FC" w:rsidP="00BD29FC">
      <w:pPr>
        <w:pStyle w:val="Abstract"/>
      </w:pPr>
      <w:r w:rsidRPr="0043115E">
        <w:t>This paper first presents the design and implementation of a software package to automate the setup steps for a specific sequence analysis workflow.  Using this workflow s</w:t>
      </w:r>
      <w:r>
        <w:t>ystem as a foundational example</w:t>
      </w:r>
      <w:r w:rsidRPr="0043115E">
        <w:t>, the design and implementation of a generalized service</w:t>
      </w:r>
      <w:r w:rsidR="009E6BDF">
        <w:t>-</w:t>
      </w:r>
      <w:r w:rsidRPr="0043115E">
        <w:t>oriented architecture</w:t>
      </w:r>
      <w:r w:rsidR="002302D8">
        <w:t xml:space="preserve"> (SOA)</w:t>
      </w:r>
      <w:r w:rsidRPr="0043115E">
        <w:t xml:space="preserve"> to support the creation and management of biosequence analysis jobs is discussed.</w:t>
      </w:r>
      <w:r w:rsidR="002302D8">
        <w:t xml:space="preserve">  Finally, plans to simplify the service-creation process and to provide access to a hybrid computing environment of grids, clusters, and Cloud platforms </w:t>
      </w:r>
      <w:r w:rsidR="00C2581F">
        <w:t>are</w:t>
      </w:r>
      <w:r w:rsidR="002302D8">
        <w:t xml:space="preserve"> presented.</w:t>
      </w:r>
    </w:p>
    <w:p w:rsidR="009303D9" w:rsidRDefault="009303D9" w:rsidP="005B520E">
      <w:pPr>
        <w:pStyle w:val="keywords"/>
      </w:pPr>
      <w:r>
        <w:t>Keywords-</w:t>
      </w:r>
      <w:r w:rsidR="00563862">
        <w:t>biosequence</w:t>
      </w:r>
      <w:r>
        <w:t>;</w:t>
      </w:r>
      <w:r w:rsidR="00563862">
        <w:t xml:space="preserve"> bioinformatics</w:t>
      </w:r>
      <w:r>
        <w:t xml:space="preserve">; </w:t>
      </w:r>
      <w:r w:rsidR="00563862">
        <w:t>SOA</w:t>
      </w:r>
      <w:r>
        <w:t xml:space="preserve">; </w:t>
      </w:r>
      <w:r w:rsidR="005D2D0F">
        <w:t>service-oriented architecture</w:t>
      </w:r>
    </w:p>
    <w:p w:rsidR="009303D9" w:rsidRDefault="009303D9" w:rsidP="005B520E">
      <w:pPr>
        <w:pStyle w:val="Heading1"/>
      </w:pPr>
      <w:r>
        <w:t xml:space="preserve"> </w:t>
      </w:r>
      <w:r w:rsidRPr="005B520E">
        <w:t>Introduction</w:t>
      </w:r>
      <w:r>
        <w:t xml:space="preserve"> </w:t>
      </w:r>
    </w:p>
    <w:p w:rsidR="00AB27FF" w:rsidRDefault="003C5102" w:rsidP="003C5102">
      <w:pPr>
        <w:pStyle w:val="Abstract"/>
        <w:rPr>
          <w:b w:val="0"/>
          <w:sz w:val="20"/>
          <w:szCs w:val="20"/>
        </w:rPr>
      </w:pPr>
      <w:r w:rsidRPr="003C5102">
        <w:rPr>
          <w:b w:val="0"/>
          <w:sz w:val="20"/>
          <w:szCs w:val="20"/>
        </w:rPr>
        <w:t xml:space="preserve">Genome research projects generate large quantities of data in the form of biosequence reads, each consisting of several hundred base pairs.  In order to derive useful information from these data, scientists employ many software tools to search generated biosequences against existing databases, to visualize these search results, and to create and manage biosequence annotations.  The sheer size of the experimental data, which </w:t>
      </w:r>
      <w:r>
        <w:rPr>
          <w:b w:val="0"/>
          <w:sz w:val="20"/>
          <w:szCs w:val="20"/>
        </w:rPr>
        <w:t>may</w:t>
      </w:r>
      <w:r w:rsidRPr="003C5102">
        <w:rPr>
          <w:b w:val="0"/>
          <w:sz w:val="20"/>
          <w:szCs w:val="20"/>
        </w:rPr>
        <w:t xml:space="preserve"> consist of hundreds of millions of sequence reads </w:t>
      </w:r>
      <w:r>
        <w:rPr>
          <w:b w:val="0"/>
          <w:sz w:val="20"/>
          <w:szCs w:val="20"/>
        </w:rPr>
        <w:t xml:space="preserve">generated </w:t>
      </w:r>
      <w:r w:rsidRPr="003C5102">
        <w:rPr>
          <w:b w:val="0"/>
          <w:sz w:val="20"/>
          <w:szCs w:val="20"/>
        </w:rPr>
        <w:t>from a single run</w:t>
      </w:r>
      <w:r w:rsidR="006700BD">
        <w:rPr>
          <w:b w:val="0"/>
          <w:sz w:val="20"/>
          <w:szCs w:val="20"/>
        </w:rPr>
        <w:t xml:space="preserve"> (as discussed in [1] and [2])</w:t>
      </w:r>
      <w:r w:rsidRPr="003C5102">
        <w:rPr>
          <w:b w:val="0"/>
          <w:sz w:val="20"/>
          <w:szCs w:val="20"/>
        </w:rPr>
        <w:t xml:space="preserve">, </w:t>
      </w:r>
      <w:r>
        <w:rPr>
          <w:b w:val="0"/>
          <w:sz w:val="20"/>
          <w:szCs w:val="20"/>
        </w:rPr>
        <w:t xml:space="preserve">renders the computational resources of single labs inadequate for completing such analyses in a timely fashion.  Consequently, the use </w:t>
      </w:r>
      <w:r w:rsidRPr="003C5102">
        <w:rPr>
          <w:b w:val="0"/>
          <w:sz w:val="20"/>
          <w:szCs w:val="20"/>
        </w:rPr>
        <w:t xml:space="preserve">high-performance computing </w:t>
      </w:r>
      <w:r>
        <w:rPr>
          <w:b w:val="0"/>
          <w:sz w:val="20"/>
          <w:szCs w:val="20"/>
        </w:rPr>
        <w:t>resources</w:t>
      </w:r>
      <w:r w:rsidR="00F80A9B">
        <w:rPr>
          <w:b w:val="0"/>
          <w:sz w:val="20"/>
          <w:szCs w:val="20"/>
        </w:rPr>
        <w:t xml:space="preserve"> </w:t>
      </w:r>
      <w:r>
        <w:rPr>
          <w:b w:val="0"/>
          <w:sz w:val="20"/>
          <w:szCs w:val="20"/>
        </w:rPr>
        <w:t xml:space="preserve">is generally required to make progress against the avalanche of </w:t>
      </w:r>
      <w:r w:rsidR="00711CE8">
        <w:rPr>
          <w:b w:val="0"/>
          <w:sz w:val="20"/>
          <w:szCs w:val="20"/>
        </w:rPr>
        <w:t>sequencing results</w:t>
      </w:r>
      <w:r>
        <w:rPr>
          <w:b w:val="0"/>
          <w:sz w:val="20"/>
          <w:szCs w:val="20"/>
        </w:rPr>
        <w:t xml:space="preserve"> facing genomic researcher</w:t>
      </w:r>
      <w:r w:rsidR="00711CE8">
        <w:rPr>
          <w:b w:val="0"/>
          <w:sz w:val="20"/>
          <w:szCs w:val="20"/>
        </w:rPr>
        <w:t>s</w:t>
      </w:r>
      <w:r>
        <w:rPr>
          <w:b w:val="0"/>
          <w:sz w:val="20"/>
          <w:szCs w:val="20"/>
        </w:rPr>
        <w:t>.  C</w:t>
      </w:r>
      <w:r w:rsidRPr="003C5102">
        <w:rPr>
          <w:b w:val="0"/>
          <w:sz w:val="20"/>
          <w:szCs w:val="20"/>
        </w:rPr>
        <w:t>reating and managing the</w:t>
      </w:r>
      <w:r>
        <w:rPr>
          <w:b w:val="0"/>
          <w:sz w:val="20"/>
          <w:szCs w:val="20"/>
        </w:rPr>
        <w:t xml:space="preserve"> computational</w:t>
      </w:r>
      <w:r w:rsidRPr="003C5102">
        <w:rPr>
          <w:b w:val="0"/>
          <w:sz w:val="20"/>
          <w:szCs w:val="20"/>
        </w:rPr>
        <w:t xml:space="preserve"> jobs necessary </w:t>
      </w:r>
      <w:r w:rsidR="000F011A">
        <w:rPr>
          <w:b w:val="0"/>
          <w:sz w:val="20"/>
          <w:szCs w:val="20"/>
        </w:rPr>
        <w:t xml:space="preserve">to </w:t>
      </w:r>
      <w:r w:rsidR="000F011A">
        <w:rPr>
          <w:b w:val="0"/>
          <w:sz w:val="20"/>
          <w:szCs w:val="20"/>
        </w:rPr>
        <w:lastRenderedPageBreak/>
        <w:t>carry out these analyse</w:t>
      </w:r>
      <w:r>
        <w:rPr>
          <w:b w:val="0"/>
          <w:sz w:val="20"/>
          <w:szCs w:val="20"/>
        </w:rPr>
        <w:t>s</w:t>
      </w:r>
      <w:r w:rsidRPr="003C5102">
        <w:rPr>
          <w:b w:val="0"/>
          <w:sz w:val="20"/>
          <w:szCs w:val="20"/>
        </w:rPr>
        <w:t xml:space="preserve"> can be a tedious manual task, potentially costing the researcher valuable time and effort.</w:t>
      </w:r>
      <w:r w:rsidR="000F011A">
        <w:rPr>
          <w:b w:val="0"/>
          <w:sz w:val="20"/>
          <w:szCs w:val="20"/>
        </w:rPr>
        <w:t xml:space="preserve">  </w:t>
      </w:r>
      <w:r w:rsidR="00AB27FF">
        <w:rPr>
          <w:b w:val="0"/>
          <w:sz w:val="20"/>
          <w:szCs w:val="20"/>
        </w:rPr>
        <w:t xml:space="preserve">In order to overcome this productivity bottleneck, robust application workflows </w:t>
      </w:r>
      <w:r w:rsidR="00D95A4A">
        <w:rPr>
          <w:b w:val="0"/>
          <w:sz w:val="20"/>
          <w:szCs w:val="20"/>
        </w:rPr>
        <w:t>for automating</w:t>
      </w:r>
      <w:r w:rsidR="00AB27FF">
        <w:rPr>
          <w:b w:val="0"/>
          <w:sz w:val="20"/>
          <w:szCs w:val="20"/>
        </w:rPr>
        <w:t xml:space="preserve"> most of the steps involved in sequence analysis and</w:t>
      </w:r>
      <w:r w:rsidR="00D95A4A">
        <w:rPr>
          <w:b w:val="0"/>
          <w:sz w:val="20"/>
          <w:szCs w:val="20"/>
        </w:rPr>
        <w:t xml:space="preserve"> a</w:t>
      </w:r>
      <w:r w:rsidR="00AB27FF">
        <w:rPr>
          <w:b w:val="0"/>
          <w:sz w:val="20"/>
          <w:szCs w:val="20"/>
        </w:rPr>
        <w:t xml:space="preserve"> service-based portal system to abstract the intricacies of managing interactions with underlying high-performance computing machines</w:t>
      </w:r>
      <w:r w:rsidR="00D95A4A">
        <w:rPr>
          <w:b w:val="0"/>
          <w:sz w:val="20"/>
          <w:szCs w:val="20"/>
        </w:rPr>
        <w:t xml:space="preserve"> are being developed</w:t>
      </w:r>
      <w:r w:rsidR="00D84E12">
        <w:rPr>
          <w:b w:val="0"/>
          <w:sz w:val="20"/>
          <w:szCs w:val="20"/>
        </w:rPr>
        <w:t xml:space="preserve">.  This infrastructure will be expanded to </w:t>
      </w:r>
      <w:r w:rsidR="004A6CC9">
        <w:rPr>
          <w:b w:val="0"/>
          <w:sz w:val="20"/>
          <w:szCs w:val="20"/>
        </w:rPr>
        <w:t xml:space="preserve">provide service interfaces to map-reduce technologies and make the computing resources offered by traditional grids and clusters, as well as emerging Cloud platforms, more accessible to typical sequencing projects. </w:t>
      </w:r>
    </w:p>
    <w:p w:rsidR="00C2581F" w:rsidRPr="00E74572" w:rsidRDefault="00C2581F" w:rsidP="00C2581F">
      <w:pPr>
        <w:pStyle w:val="Abstract"/>
        <w:rPr>
          <w:b w:val="0"/>
          <w:sz w:val="20"/>
          <w:szCs w:val="20"/>
        </w:rPr>
      </w:pPr>
      <w:r w:rsidRPr="00E74572">
        <w:rPr>
          <w:b w:val="0"/>
          <w:sz w:val="20"/>
          <w:szCs w:val="20"/>
        </w:rPr>
        <w:t>This paper first presents the design and implementation of a software package to automate the setup steps for a specific sequence analysis workflow.  Using this workflow system as a foundational example, the design and implementation of a generalized service-oriented architecture (SOA) to support the creation and management of biosequence analysis jobs is discussed.  Finally, plans to simplify the service-creation process and to provide access to a hybrid computing environment of grids, clusters, and Cloud platforms are presented.</w:t>
      </w:r>
    </w:p>
    <w:p w:rsidR="003C5102" w:rsidRPr="003C5102" w:rsidRDefault="003C5102" w:rsidP="003C5102">
      <w:pPr>
        <w:pStyle w:val="Abstract"/>
        <w:rPr>
          <w:b w:val="0"/>
          <w:sz w:val="20"/>
          <w:szCs w:val="20"/>
        </w:rPr>
      </w:pPr>
      <w:r w:rsidRPr="003C5102">
        <w:rPr>
          <w:b w:val="0"/>
          <w:sz w:val="20"/>
          <w:szCs w:val="20"/>
        </w:rPr>
        <w:t>.</w:t>
      </w:r>
    </w:p>
    <w:p w:rsidR="00E253F1" w:rsidRDefault="00E253F1" w:rsidP="00E253F1">
      <w:pPr>
        <w:pStyle w:val="Heading1"/>
      </w:pPr>
      <w:r>
        <w:t>Related Work</w:t>
      </w:r>
    </w:p>
    <w:p w:rsidR="00F80A9B" w:rsidRPr="00F80A9B" w:rsidRDefault="00512696" w:rsidP="008E78C1">
      <w:pPr>
        <w:jc w:val="both"/>
        <w:rPr>
          <w:rFonts w:eastAsia="Times New Roman"/>
          <w:color w:val="000000"/>
        </w:rPr>
      </w:pPr>
      <w:r>
        <w:rPr>
          <w:rFonts w:eastAsia="Times New Roman"/>
          <w:color w:val="000000"/>
        </w:rPr>
        <w:t>Providing ready access to</w:t>
      </w:r>
      <w:r w:rsidR="00F80A9B" w:rsidRPr="00F80A9B">
        <w:rPr>
          <w:rFonts w:eastAsia="Times New Roman"/>
          <w:color w:val="000000"/>
        </w:rPr>
        <w:t xml:space="preserve"> high-performance computing resources</w:t>
      </w:r>
      <w:r>
        <w:rPr>
          <w:rFonts w:eastAsia="Times New Roman"/>
          <w:color w:val="000000"/>
        </w:rPr>
        <w:t xml:space="preserve"> for</w:t>
      </w:r>
      <w:r w:rsidR="00F80A9B" w:rsidRPr="00F80A9B">
        <w:rPr>
          <w:rFonts w:eastAsia="Times New Roman"/>
          <w:color w:val="000000"/>
        </w:rPr>
        <w:t xml:space="preserve"> biological rese</w:t>
      </w:r>
      <w:r w:rsidR="006A0AD2">
        <w:rPr>
          <w:rFonts w:eastAsia="Times New Roman"/>
          <w:color w:val="000000"/>
        </w:rPr>
        <w:t xml:space="preserve">archers has been the focus of </w:t>
      </w:r>
      <w:r w:rsidR="00AC55C8">
        <w:rPr>
          <w:rFonts w:eastAsia="Times New Roman"/>
          <w:color w:val="000000"/>
        </w:rPr>
        <w:t xml:space="preserve">system engineering </w:t>
      </w:r>
      <w:r w:rsidR="00F80A9B" w:rsidRPr="00F80A9B">
        <w:rPr>
          <w:rFonts w:eastAsia="Times New Roman"/>
          <w:color w:val="000000"/>
        </w:rPr>
        <w:t>research</w:t>
      </w:r>
      <w:r w:rsidR="0048615B">
        <w:rPr>
          <w:rFonts w:eastAsia="Times New Roman"/>
          <w:color w:val="000000"/>
        </w:rPr>
        <w:t xml:space="preserve"> </w:t>
      </w:r>
      <w:r w:rsidR="00F80A9B" w:rsidRPr="00F80A9B">
        <w:rPr>
          <w:rFonts w:eastAsia="Times New Roman"/>
          <w:color w:val="000000"/>
        </w:rPr>
        <w:t>for many years.  Various portal systems have been developed to provide users with a clean interface for submitting and controlling HPC jobs</w:t>
      </w:r>
      <w:r w:rsidR="00AC55C8">
        <w:rPr>
          <w:rFonts w:eastAsia="Times New Roman"/>
          <w:color w:val="000000"/>
        </w:rPr>
        <w:t xml:space="preserve"> </w:t>
      </w:r>
      <w:r w:rsidR="00F80A9B" w:rsidRPr="00F80A9B">
        <w:rPr>
          <w:rFonts w:eastAsia="Times New Roman"/>
          <w:color w:val="000000"/>
        </w:rPr>
        <w:t>[</w:t>
      </w:r>
      <w:r w:rsidR="0048615B">
        <w:rPr>
          <w:rFonts w:eastAsia="Times New Roman"/>
          <w:color w:val="000000"/>
        </w:rPr>
        <w:t>3</w:t>
      </w:r>
      <w:r w:rsidR="00F80A9B" w:rsidRPr="00F80A9B">
        <w:rPr>
          <w:rFonts w:eastAsia="Times New Roman"/>
          <w:color w:val="000000"/>
        </w:rPr>
        <w:t>].  Many of these implementations, though, have been tied to specific platforms or a limited number of distributed computing environments</w:t>
      </w:r>
      <w:r w:rsidR="0048615B">
        <w:rPr>
          <w:rFonts w:eastAsia="Times New Roman"/>
          <w:color w:val="000000"/>
        </w:rPr>
        <w:t>,</w:t>
      </w:r>
      <w:r w:rsidR="00F80A9B" w:rsidRPr="00F80A9B">
        <w:rPr>
          <w:rFonts w:eastAsia="Times New Roman"/>
          <w:color w:val="000000"/>
        </w:rPr>
        <w:t xml:space="preserve"> such as Condor or SGE</w:t>
      </w:r>
      <w:r w:rsidR="00AC55C8">
        <w:rPr>
          <w:rFonts w:eastAsia="Times New Roman"/>
          <w:color w:val="000000"/>
        </w:rPr>
        <w:t xml:space="preserve"> </w:t>
      </w:r>
      <w:r w:rsidR="00F80A9B" w:rsidRPr="00F80A9B">
        <w:rPr>
          <w:rFonts w:eastAsia="Times New Roman"/>
          <w:color w:val="000000"/>
        </w:rPr>
        <w:t>[</w:t>
      </w:r>
      <w:r w:rsidR="0048615B">
        <w:rPr>
          <w:rFonts w:eastAsia="Times New Roman"/>
          <w:color w:val="000000"/>
        </w:rPr>
        <w:t>4</w:t>
      </w:r>
      <w:r w:rsidR="00A004CB">
        <w:rPr>
          <w:rFonts w:eastAsia="Times New Roman"/>
          <w:color w:val="000000"/>
        </w:rPr>
        <w:t xml:space="preserve">], </w:t>
      </w:r>
      <w:r w:rsidR="00F80A9B" w:rsidRPr="00F80A9B">
        <w:rPr>
          <w:rFonts w:eastAsia="Times New Roman"/>
          <w:color w:val="000000"/>
        </w:rPr>
        <w:t>generally lack</w:t>
      </w:r>
      <w:r w:rsidR="00DF7930">
        <w:rPr>
          <w:rFonts w:eastAsia="Times New Roman"/>
          <w:color w:val="000000"/>
        </w:rPr>
        <w:t>ing</w:t>
      </w:r>
      <w:r w:rsidR="00F80A9B" w:rsidRPr="00F80A9B">
        <w:rPr>
          <w:rFonts w:eastAsia="Times New Roman"/>
          <w:color w:val="000000"/>
        </w:rPr>
        <w:t xml:space="preserve"> seamless access to Cloud </w:t>
      </w:r>
      <w:r w:rsidR="00DF7930">
        <w:rPr>
          <w:rFonts w:eastAsia="Times New Roman"/>
          <w:color w:val="000000"/>
        </w:rPr>
        <w:t xml:space="preserve">and other other HPC </w:t>
      </w:r>
      <w:r w:rsidR="00F80A9B" w:rsidRPr="00F80A9B">
        <w:rPr>
          <w:rFonts w:eastAsia="Times New Roman"/>
          <w:color w:val="000000"/>
        </w:rPr>
        <w:t>resources.  The service-based technology of the Portal system described here is a further abstraction of these earlier ideas, providing simple interfaces that allow a wide range of applications to access potentially any type of computing resource, from local clusters to Cloud platforms through flexible resource connector components.  The lightweight, loosely-coupled architecture [</w:t>
      </w:r>
      <w:r w:rsidR="000500EE">
        <w:rPr>
          <w:rFonts w:eastAsia="Times New Roman"/>
          <w:color w:val="000000"/>
        </w:rPr>
        <w:t>12</w:t>
      </w:r>
      <w:r w:rsidR="00F80A9B" w:rsidRPr="00F80A9B">
        <w:rPr>
          <w:rFonts w:eastAsia="Times New Roman"/>
          <w:color w:val="000000"/>
        </w:rPr>
        <w:t>]</w:t>
      </w:r>
      <w:r w:rsidR="008E78C1">
        <w:rPr>
          <w:rFonts w:eastAsia="Times New Roman"/>
          <w:color w:val="000000"/>
        </w:rPr>
        <w:t xml:space="preserve"> </w:t>
      </w:r>
      <w:r w:rsidR="00F80A9B" w:rsidRPr="00F80A9B">
        <w:rPr>
          <w:rFonts w:eastAsia="Times New Roman"/>
          <w:color w:val="000000"/>
        </w:rPr>
        <w:t xml:space="preserve">of these services makes </w:t>
      </w:r>
      <w:r w:rsidR="00F80A9B" w:rsidRPr="00F80A9B">
        <w:rPr>
          <w:rFonts w:eastAsia="Times New Roman"/>
          <w:color w:val="000000"/>
        </w:rPr>
        <w:lastRenderedPageBreak/>
        <w:t>them readily accessible for quickly composing domain-specific software to address problem spaces of interest, thus providing the ability to quickly construct new distributed analysis</w:t>
      </w:r>
      <w:r w:rsidR="008E78C1">
        <w:rPr>
          <w:rFonts w:eastAsia="Times New Roman"/>
          <w:color w:val="000000"/>
        </w:rPr>
        <w:t xml:space="preserve"> to</w:t>
      </w:r>
      <w:r w:rsidR="00F80A9B" w:rsidRPr="00F80A9B">
        <w:rPr>
          <w:rFonts w:eastAsia="Times New Roman"/>
          <w:color w:val="000000"/>
        </w:rPr>
        <w:t>ols.</w:t>
      </w:r>
      <w:r w:rsidR="00F80A9B" w:rsidRPr="00F80A9B">
        <w:rPr>
          <w:rFonts w:eastAsia="Times New Roman"/>
          <w:color w:val="000000"/>
        </w:rPr>
        <w:br/>
      </w:r>
      <w:r w:rsidR="00F80A9B" w:rsidRPr="00F80A9B">
        <w:rPr>
          <w:rFonts w:eastAsia="Times New Roman"/>
          <w:color w:val="000000"/>
        </w:rPr>
        <w:br/>
        <w:t>In the realm of biosequence analysis, many computational pipelines have been developed to assist in genome annotation</w:t>
      </w:r>
      <w:r w:rsidR="008E78C1">
        <w:rPr>
          <w:rFonts w:eastAsia="Times New Roman"/>
          <w:color w:val="000000"/>
        </w:rPr>
        <w:t xml:space="preserve"> </w:t>
      </w:r>
      <w:r w:rsidR="00F80A9B" w:rsidRPr="00F80A9B">
        <w:rPr>
          <w:rFonts w:eastAsia="Times New Roman"/>
          <w:color w:val="000000"/>
        </w:rPr>
        <w:t>[</w:t>
      </w:r>
      <w:r w:rsidR="00403873">
        <w:rPr>
          <w:rFonts w:eastAsia="Times New Roman"/>
          <w:color w:val="000000"/>
        </w:rPr>
        <w:t>5</w:t>
      </w:r>
      <w:r w:rsidR="00F80A9B" w:rsidRPr="00F80A9B">
        <w:rPr>
          <w:rFonts w:eastAsia="Times New Roman"/>
          <w:color w:val="000000"/>
        </w:rPr>
        <w:t>].   A common early step in such workflows is sequen</w:t>
      </w:r>
      <w:r w:rsidR="00A004CB">
        <w:rPr>
          <w:rFonts w:eastAsia="Times New Roman"/>
          <w:color w:val="000000"/>
        </w:rPr>
        <w:t xml:space="preserve">ce alignment, wherein a set of </w:t>
      </w:r>
      <w:r w:rsidR="00F80A9B" w:rsidRPr="00F80A9B">
        <w:rPr>
          <w:rFonts w:eastAsia="Times New Roman"/>
          <w:color w:val="000000"/>
        </w:rPr>
        <w:t>input sequences are compared to a databases of well-kn</w:t>
      </w:r>
      <w:r w:rsidR="00403873">
        <w:rPr>
          <w:rFonts w:eastAsia="Times New Roman"/>
          <w:color w:val="000000"/>
        </w:rPr>
        <w:t xml:space="preserve">own sequences, such as the </w:t>
      </w:r>
      <w:r w:rsidR="00F80A9B" w:rsidRPr="00F80A9B">
        <w:rPr>
          <w:rFonts w:eastAsia="Times New Roman"/>
          <w:color w:val="000000"/>
        </w:rPr>
        <w:t>human genome, or against each other.  One important tool for performing this type of analysis is the Smith Waterman-Gotoh (SW-G) algorithm, a local sequence-alignment tool which calculates similarities between regions of protein or DNA sequences and scales like O(N2)</w:t>
      </w:r>
      <w:r w:rsidR="00403873">
        <w:rPr>
          <w:rFonts w:eastAsia="Times New Roman"/>
          <w:color w:val="000000"/>
        </w:rPr>
        <w:t xml:space="preserve"> [6</w:t>
      </w:r>
      <w:r w:rsidR="000500EE">
        <w:rPr>
          <w:rFonts w:eastAsia="Times New Roman"/>
          <w:color w:val="000000"/>
        </w:rPr>
        <w:t>, 7</w:t>
      </w:r>
      <w:r w:rsidR="00403873">
        <w:rPr>
          <w:rFonts w:eastAsia="Times New Roman"/>
          <w:color w:val="000000"/>
        </w:rPr>
        <w:t>]</w:t>
      </w:r>
      <w:r w:rsidR="00F80A9B" w:rsidRPr="00F80A9B">
        <w:rPr>
          <w:rFonts w:eastAsia="Times New Roman"/>
          <w:color w:val="000000"/>
        </w:rPr>
        <w:t>.  Recent work has focused on the use of an MPI version of SW-G to examine Alu clustering[</w:t>
      </w:r>
      <w:r w:rsidR="000500EE">
        <w:rPr>
          <w:rFonts w:eastAsia="Times New Roman"/>
          <w:color w:val="000000"/>
        </w:rPr>
        <w:t>8,9,10</w:t>
      </w:r>
      <w:r w:rsidR="00F80A9B" w:rsidRPr="00F80A9B">
        <w:rPr>
          <w:rFonts w:eastAsia="Times New Roman"/>
          <w:color w:val="000000"/>
        </w:rPr>
        <w:t>], a particularly vexing problem since Alu represents the largest repeating families in the human genome[</w:t>
      </w:r>
      <w:r w:rsidR="000500EE">
        <w:rPr>
          <w:rFonts w:eastAsia="Times New Roman"/>
          <w:color w:val="000000"/>
        </w:rPr>
        <w:t>9,10</w:t>
      </w:r>
      <w:r w:rsidR="00F80A9B" w:rsidRPr="00F80A9B">
        <w:rPr>
          <w:rFonts w:eastAsia="Times New Roman"/>
          <w:color w:val="000000"/>
        </w:rPr>
        <w:t xml:space="preserve">].   This implementation has proven valuable for efficient Alu clustering on shared-memory multicore systems and distributed-memory clusters.   In addition to the MPI version of Smith Waterman-Gotoh, multiple implementations have been developed with an eye toward deployment to Cloud resources.   These include versions </w:t>
      </w:r>
      <w:r w:rsidR="00A004CB">
        <w:rPr>
          <w:rFonts w:eastAsia="Times New Roman"/>
          <w:color w:val="000000"/>
        </w:rPr>
        <w:t>of SW-G developed</w:t>
      </w:r>
      <w:r w:rsidR="00F80A9B" w:rsidRPr="00F80A9B">
        <w:rPr>
          <w:rFonts w:eastAsia="Times New Roman"/>
          <w:color w:val="000000"/>
        </w:rPr>
        <w:t xml:space="preserve"> using DryadLINQ [</w:t>
      </w:r>
      <w:r w:rsidR="003773D7">
        <w:rPr>
          <w:rFonts w:eastAsia="Times New Roman"/>
          <w:color w:val="000000"/>
        </w:rPr>
        <w:t>9,10</w:t>
      </w:r>
      <w:r w:rsidR="00F80A9B" w:rsidRPr="00F80A9B">
        <w:rPr>
          <w:rFonts w:eastAsia="Times New Roman"/>
          <w:color w:val="000000"/>
        </w:rPr>
        <w:t>], Apache Hadoop (map-reduce) [</w:t>
      </w:r>
      <w:r w:rsidR="000500EE">
        <w:rPr>
          <w:rFonts w:eastAsia="Times New Roman"/>
          <w:color w:val="000000"/>
        </w:rPr>
        <w:t>9,10</w:t>
      </w:r>
      <w:r w:rsidR="00F80A9B" w:rsidRPr="00F80A9B">
        <w:rPr>
          <w:rFonts w:eastAsia="Times New Roman"/>
          <w:color w:val="000000"/>
        </w:rPr>
        <w:t>], and Twister (Iterative Map-Reduce) [</w:t>
      </w:r>
      <w:r w:rsidR="000500EE">
        <w:rPr>
          <w:rFonts w:eastAsia="Times New Roman"/>
          <w:color w:val="000000"/>
        </w:rPr>
        <w:t>8</w:t>
      </w:r>
      <w:r w:rsidR="00F80A9B" w:rsidRPr="00F80A9B">
        <w:rPr>
          <w:rFonts w:eastAsia="Times New Roman"/>
          <w:color w:val="000000"/>
        </w:rPr>
        <w:t>], each of which shows promising performance and scalability.  </w:t>
      </w:r>
      <w:r w:rsidR="00F80A9B" w:rsidRPr="00F80A9B">
        <w:rPr>
          <w:rFonts w:eastAsia="Times New Roman"/>
          <w:color w:val="000000"/>
        </w:rPr>
        <w:br/>
      </w:r>
      <w:r w:rsidR="00F80A9B" w:rsidRPr="00F80A9B">
        <w:rPr>
          <w:rFonts w:eastAsia="Times New Roman"/>
          <w:color w:val="000000"/>
        </w:rPr>
        <w:br/>
        <w:t xml:space="preserve">The pipeline model discussed here presents a flexible architecture which allows for the use of any of these Smith Waterman-Gotoh implementations, as well as other alignment and analysis tools as they become available.  By exposing this entire pipeline framework through standard web service interfaces, the described portal system </w:t>
      </w:r>
      <w:r w:rsidR="00A004CB">
        <w:rPr>
          <w:rFonts w:eastAsia="Times New Roman"/>
          <w:color w:val="000000"/>
        </w:rPr>
        <w:t xml:space="preserve">will </w:t>
      </w:r>
      <w:r w:rsidR="00F80A9B" w:rsidRPr="00F80A9B">
        <w:rPr>
          <w:rFonts w:eastAsia="Times New Roman"/>
          <w:color w:val="000000"/>
        </w:rPr>
        <w:t>enable the researcher to employ the appropriate computational strategy based on the specific problem at hand and available computational platform</w:t>
      </w:r>
      <w:r w:rsidR="006260F0">
        <w:rPr>
          <w:rFonts w:eastAsia="Times New Roman"/>
          <w:color w:val="000000"/>
        </w:rPr>
        <w:t>s</w:t>
      </w:r>
      <w:r w:rsidR="00F80A9B" w:rsidRPr="00F80A9B">
        <w:rPr>
          <w:rFonts w:eastAsia="Times New Roman"/>
          <w:color w:val="000000"/>
        </w:rPr>
        <w:t xml:space="preserve">, </w:t>
      </w:r>
      <w:r w:rsidR="006260F0">
        <w:rPr>
          <w:rFonts w:eastAsia="Times New Roman"/>
          <w:color w:val="000000"/>
        </w:rPr>
        <w:t xml:space="preserve">serving as a simple gateway to </w:t>
      </w:r>
      <w:r w:rsidR="00F80A9B" w:rsidRPr="00F80A9B">
        <w:rPr>
          <w:rFonts w:eastAsia="Times New Roman"/>
          <w:color w:val="000000"/>
        </w:rPr>
        <w:t>grid, cluster, and Cloud resources.</w:t>
      </w:r>
    </w:p>
    <w:p w:rsidR="00F554E8" w:rsidRPr="00F554E8" w:rsidRDefault="00F554E8" w:rsidP="00F554E8"/>
    <w:p w:rsidR="00E253F1" w:rsidRPr="005A74AF" w:rsidRDefault="00E253F1" w:rsidP="00E253F1">
      <w:pPr>
        <w:pStyle w:val="Heading1"/>
      </w:pPr>
      <w:r>
        <w:t>Biosequence Classification Workflow</w:t>
      </w:r>
    </w:p>
    <w:p w:rsidR="00854E7B" w:rsidRDefault="00854E7B" w:rsidP="00F43004">
      <w:pPr>
        <w:pStyle w:val="BodyText"/>
      </w:pPr>
      <w:r>
        <w:t>The problem at hand is to classify biological sequences of either DNA or Protein</w:t>
      </w:r>
      <w:r w:rsidR="005E30CC">
        <w:t>s</w:t>
      </w:r>
      <w:r>
        <w:t xml:space="preserve"> into clusters of similar nature. Eventually</w:t>
      </w:r>
      <w:r w:rsidR="005E30CC">
        <w:t>,</w:t>
      </w:r>
      <w:r>
        <w:t xml:space="preserve"> this would help biologists to analyze various characteristics of these sequences in their domain of work. </w:t>
      </w:r>
    </w:p>
    <w:p w:rsidR="003E652F" w:rsidRDefault="003E652F" w:rsidP="003E652F">
      <w:pPr>
        <w:pStyle w:val="Heading2"/>
      </w:pPr>
      <w:r>
        <w:lastRenderedPageBreak/>
        <w:t>Classification Scheme</w:t>
      </w:r>
    </w:p>
    <w:p w:rsidR="00854E7B" w:rsidRDefault="00854E7B" w:rsidP="00F43004">
      <w:pPr>
        <w:pStyle w:val="BodyText"/>
      </w:pPr>
      <w:r>
        <w:t>Classification begins with the calculation of a value to indicate the similarity between each pair of sequences. This value is usually known as the distance between two sequences. Thus, a matrix of distances for each pair is generated and is fed to a clustering algorithm implementation. The clustering algorithm will assign a group number to each sequence such that sequences with similar distances to other sequences fall i</w:t>
      </w:r>
      <w:r w:rsidR="005E30CC">
        <w:t>nto the same group.</w:t>
      </w:r>
    </w:p>
    <w:p w:rsidR="009303D9" w:rsidRDefault="00854E7B" w:rsidP="00854E7B">
      <w:pPr>
        <w:pStyle w:val="BodyText"/>
      </w:pPr>
      <w:r>
        <w:t xml:space="preserve">The previous steps are the essence of </w:t>
      </w:r>
      <w:r w:rsidR="005E30CC">
        <w:t xml:space="preserve">the </w:t>
      </w:r>
      <w:r>
        <w:t>classification process. A visualization step, however, dramatically increases the usefulness of such results for analytical purposes. Therefore, a point visualization based on the same distance matrix is attached to the chain of algorithms. The goal of the</w:t>
      </w:r>
      <w:r w:rsidR="005E30CC">
        <w:t xml:space="preserve"> visualization</w:t>
      </w:r>
      <w:r>
        <w:t xml:space="preserve"> algorithm is to find 3-dimensional</w:t>
      </w:r>
      <w:r w:rsidR="00570CA2">
        <w:t xml:space="preserve"> (3D)</w:t>
      </w:r>
      <w:r>
        <w:t xml:space="preserve"> coordinates for each sequence such that each pair of</w:t>
      </w:r>
      <w:r w:rsidR="005E30CC">
        <w:t xml:space="preserve"> points has the same distance as</w:t>
      </w:r>
      <w:r>
        <w:t xml:space="preserve"> the corresponding two sequences in the distance matrix. A visualization tool is then able to produce a </w:t>
      </w:r>
      <w:r w:rsidR="00570CA2">
        <w:t>3D</w:t>
      </w:r>
      <w:r>
        <w:t xml:space="preserve"> picture depicting the clustering of sequences</w:t>
      </w:r>
      <w:r w:rsidR="00085B4B" w:rsidRPr="005A74AF">
        <w:t>.</w:t>
      </w:r>
    </w:p>
    <w:p w:rsidR="0064080A" w:rsidRDefault="0064080A" w:rsidP="00854E7B">
      <w:pPr>
        <w:pStyle w:val="BodyText"/>
      </w:pPr>
      <w:r>
        <w:t>The classification scheme described here is shown in Fig. 1.</w:t>
      </w:r>
    </w:p>
    <w:p w:rsidR="00347B58" w:rsidRDefault="00347B58" w:rsidP="00347B58">
      <w:pPr>
        <w:pStyle w:val="Heading2"/>
      </w:pPr>
      <w:r>
        <w:t>Software Pipeline</w:t>
      </w:r>
    </w:p>
    <w:p w:rsidR="00347B58" w:rsidRDefault="00347B58" w:rsidP="00347B58">
      <w:pPr>
        <w:pStyle w:val="BodyText"/>
      </w:pPr>
      <w:r>
        <w:t xml:space="preserve">Several pieces of software work in a flow (pipeline) to complete one classification task. Primarily, it contains MPI.NET-based algorithm implementations of pairwise sequence alignment (distance calculation), pairwise clustering, and multi-dimensional scaling. These algorithms are run on Microsoft HPC Clusters, which require manual labor to configure and submit classification jobs. We have implemented a job configuration and submission tool to overcome this effort. The tool provides a simple Graphical User Interface (GUI) to select the suite of algorithms and the computer cluster nodes. It also enables configuring the algorithm parameters via a simple interface. Once the user  is happy with the configuration he/she can submit the job to the cluster from the tool itself. The job is saved to the local machine, which makes it easy to perform a re-run or to use some of the algorithm configurations for a new job. Once the job is completed, the user can retrieve results from the cluster (manually at present) and use the visualization tool, i.e. PlotViz, to interact with a 3D representation. </w:t>
      </w:r>
      <w:fldSimple w:instr=" REF _Ref269123029 \h  \* MERGEFORMAT ">
        <w:r>
          <w:t>Fig. 2</w:t>
        </w:r>
      </w:fldSimple>
      <w:r>
        <w:t xml:space="preserve"> encapsulates the use of these software pieces in the big picture. </w:t>
      </w:r>
    </w:p>
    <w:p w:rsidR="001D69D2" w:rsidRDefault="001D69D2" w:rsidP="00347B58">
      <w:pPr>
        <w:pStyle w:val="BodyText"/>
      </w:pPr>
    </w:p>
    <w:p w:rsidR="0007660D" w:rsidRDefault="0007660D" w:rsidP="0007660D">
      <w:pPr>
        <w:pStyle w:val="figurecaption"/>
        <w:numPr>
          <w:ilvl w:val="0"/>
          <w:numId w:val="0"/>
        </w:numPr>
        <w:sectPr w:rsidR="0007660D" w:rsidSect="00E77B53">
          <w:type w:val="continuous"/>
          <w:pgSz w:w="12240" w:h="15840" w:code="1"/>
          <w:pgMar w:top="1440" w:right="1080" w:bottom="1440" w:left="1080" w:header="720" w:footer="720" w:gutter="0"/>
          <w:cols w:num="2" w:space="360"/>
          <w:docGrid w:linePitch="360"/>
        </w:sectPr>
      </w:pPr>
    </w:p>
    <w:p w:rsidR="0007660D" w:rsidRDefault="0007660D" w:rsidP="0007660D">
      <w:pPr>
        <w:pStyle w:val="figurecaption"/>
        <w:numPr>
          <w:ilvl w:val="0"/>
          <w:numId w:val="0"/>
        </w:numPr>
        <w:rPr>
          <w:b/>
        </w:rPr>
      </w:pPr>
      <w:bookmarkStart w:id="0" w:name="_Ref269123029"/>
    </w:p>
    <w:p w:rsidR="0007660D" w:rsidRPr="005E02FE" w:rsidRDefault="0007660D" w:rsidP="0007660D">
      <w:pPr>
        <w:pStyle w:val="figurecaption"/>
        <w:numPr>
          <w:ilvl w:val="0"/>
          <w:numId w:val="0"/>
        </w:numPr>
        <w:rPr>
          <w:b/>
        </w:rPr>
      </w:pPr>
      <w:r>
        <w:rPr>
          <w:b/>
        </w:rPr>
        <w:drawing>
          <wp:inline distT="0" distB="0" distL="0" distR="0">
            <wp:extent cx="4670700" cy="876300"/>
            <wp:effectExtent l="19050" t="0" r="0" b="0"/>
            <wp:docPr id="3" name="Picture 19" descr="C:\Users\adalhugh.ADS\Desktop\Classification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alhugh.ADS\Desktop\ClassificationScheme.png"/>
                    <pic:cNvPicPr>
                      <a:picLocks noChangeAspect="1" noChangeArrowheads="1"/>
                    </pic:cNvPicPr>
                  </pic:nvPicPr>
                  <pic:blipFill>
                    <a:blip r:embed="rId11" cstate="print"/>
                    <a:srcRect/>
                    <a:stretch>
                      <a:fillRect/>
                    </a:stretch>
                  </pic:blipFill>
                  <pic:spPr bwMode="auto">
                    <a:xfrm>
                      <a:off x="0" y="0"/>
                      <a:ext cx="4728451" cy="887135"/>
                    </a:xfrm>
                    <a:prstGeom prst="rect">
                      <a:avLst/>
                    </a:prstGeom>
                    <a:noFill/>
                    <a:ln w="9525">
                      <a:noFill/>
                      <a:miter lim="800000"/>
                      <a:headEnd/>
                      <a:tailEnd/>
                    </a:ln>
                  </pic:spPr>
                </pic:pic>
              </a:graphicData>
            </a:graphic>
          </wp:inline>
        </w:drawing>
      </w:r>
    </w:p>
    <w:p w:rsidR="0007660D" w:rsidRPr="004D53FF" w:rsidRDefault="0007660D" w:rsidP="0007660D">
      <w:pPr>
        <w:pStyle w:val="figurecaption"/>
        <w:rPr>
          <w:b/>
        </w:rPr>
      </w:pPr>
      <w:r>
        <w:t>General</w:t>
      </w:r>
      <w:r w:rsidRPr="00E95DC1">
        <w:t xml:space="preserve"> Bioseqeunce Classification</w:t>
      </w:r>
      <w:bookmarkEnd w:id="0"/>
      <w:r>
        <w:t xml:space="preserve"> Scheme</w:t>
      </w:r>
    </w:p>
    <w:p w:rsidR="0007660D" w:rsidRDefault="0007660D" w:rsidP="0007660D">
      <w:pPr>
        <w:pStyle w:val="figurecaption"/>
        <w:sectPr w:rsidR="0007660D" w:rsidSect="00C47422">
          <w:type w:val="continuous"/>
          <w:pgSz w:w="12240" w:h="15840" w:code="1"/>
          <w:pgMar w:top="1440" w:right="1080" w:bottom="1440" w:left="1080" w:header="720" w:footer="720" w:gutter="0"/>
          <w:cols w:space="360"/>
          <w:docGrid w:linePitch="360"/>
        </w:sectPr>
      </w:pPr>
    </w:p>
    <w:p w:rsidR="0007660D" w:rsidRDefault="0007660D" w:rsidP="0007660D">
      <w:pPr>
        <w:pStyle w:val="figurecaption"/>
        <w:numPr>
          <w:ilvl w:val="0"/>
          <w:numId w:val="0"/>
        </w:numPr>
        <w:sectPr w:rsidR="0007660D" w:rsidSect="00E77B53">
          <w:type w:val="continuous"/>
          <w:pgSz w:w="12240" w:h="15840" w:code="1"/>
          <w:pgMar w:top="1440" w:right="1080" w:bottom="1440" w:left="1080" w:header="720" w:footer="720" w:gutter="0"/>
          <w:cols w:num="2" w:space="360"/>
          <w:docGrid w:linePitch="360"/>
        </w:sectPr>
      </w:pPr>
    </w:p>
    <w:p w:rsidR="0007660D" w:rsidRDefault="0007660D" w:rsidP="0007660D">
      <w:pPr>
        <w:pStyle w:val="figurecaption"/>
        <w:numPr>
          <w:ilvl w:val="0"/>
          <w:numId w:val="0"/>
        </w:numPr>
        <w:rPr>
          <w:b/>
        </w:rPr>
      </w:pPr>
    </w:p>
    <w:p w:rsidR="0007660D" w:rsidRPr="005E02FE" w:rsidRDefault="00905DC5" w:rsidP="0007660D">
      <w:pPr>
        <w:pStyle w:val="figurecaption"/>
        <w:numPr>
          <w:ilvl w:val="0"/>
          <w:numId w:val="0"/>
        </w:numPr>
        <w:rPr>
          <w:b/>
        </w:rPr>
      </w:pPr>
      <w:r w:rsidRPr="00905DC5">
        <w:pict>
          <v:group id="_x0000_s1357" editas="canvas" style="width:480.65pt;height:125.3pt;mso-position-horizontal-relative:char;mso-position-vertical-relative:line" coordorigin="1744,1373" coordsize="9613,25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8" type="#_x0000_t75" style="position:absolute;left:1744;top:1373;width:9613;height:2506" o:preferrelative="f">
              <v:fill o:detectmouseclick="t"/>
              <v:path o:extrusionok="t" o:connecttype="none"/>
              <o:lock v:ext="edit" text="t"/>
            </v:shape>
            <v:shapetype id="_x0000_t202" coordsize="21600,21600" o:spt="202" path="m,l,21600r21600,l21600,xe">
              <v:stroke joinstyle="miter"/>
              <v:path gradientshapeok="t" o:connecttype="rect"/>
            </v:shapetype>
            <v:shape id="Text Box 2" o:spid="_x0000_s1359" type="#_x0000_t202" style="position:absolute;left:3243;top:3098;width:1203;height:5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next-textbox:#Text Box 2;mso-fit-shape-to-text:t">
                <w:txbxContent>
                  <w:p w:rsidR="0007660D" w:rsidRPr="00566F7A" w:rsidRDefault="0007660D" w:rsidP="0007660D">
                    <w:pPr>
                      <w:rPr>
                        <w:sz w:val="16"/>
                        <w:szCs w:val="16"/>
                      </w:rPr>
                    </w:pPr>
                    <w:r>
                      <w:rPr>
                        <w:sz w:val="16"/>
                        <w:szCs w:val="16"/>
                      </w:rPr>
                      <w:t>Retrieve Results</w:t>
                    </w:r>
                  </w:p>
                </w:txbxContent>
              </v:textbox>
            </v:shape>
            <v:shape id="Text Box 2" o:spid="_x0000_s1360" type="#_x0000_t202" style="position:absolute;left:3123;top:1822;width:1203;height:3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fit-shape-to-text:t">
                <w:txbxContent>
                  <w:p w:rsidR="0007660D" w:rsidRPr="00566F7A" w:rsidRDefault="0007660D" w:rsidP="0007660D">
                    <w:pPr>
                      <w:rPr>
                        <w:sz w:val="16"/>
                        <w:szCs w:val="16"/>
                      </w:rPr>
                    </w:pPr>
                    <w:r>
                      <w:rPr>
                        <w:sz w:val="16"/>
                        <w:szCs w:val="16"/>
                      </w:rPr>
                      <w:t>Submit</w:t>
                    </w:r>
                  </w:p>
                </w:txbxContent>
              </v:textbox>
            </v:shape>
            <v:rect id="_x0000_s1361" style="position:absolute;left:4416;top:2822;width:175;height:151" stroked="f"/>
            <v:rect id="_x0000_s1362" style="position:absolute;left:4416;top:2324;width:213;height:170" stroked="f"/>
            <v:rect id="_x0000_s1363" style="position:absolute;left:8778;top:3492;width:213;height:151" stroked="f"/>
            <v:roundrect id="_x0000_s1364" style="position:absolute;left:4326;top:1552;width:7023;height:2150" arcsize="10923f">
              <v:stroke dashstyle="dash"/>
              <v:textbox style="mso-next-textbox:#_x0000_s1364" inset=",0">
                <w:txbxContent>
                  <w:p w:rsidR="0007660D" w:rsidRPr="00C47422" w:rsidRDefault="0007660D" w:rsidP="0007660D">
                    <w:pPr>
                      <w:jc w:val="right"/>
                      <w:rPr>
                        <w:sz w:val="16"/>
                        <w:szCs w:val="16"/>
                      </w:rPr>
                    </w:pPr>
                    <w:r>
                      <w:rPr>
                        <w:sz w:val="16"/>
                        <w:szCs w:val="16"/>
                      </w:rPr>
                      <w:t>Microsoft HPC Cluster</w:t>
                    </w:r>
                  </w:p>
                </w:txbxContent>
              </v:textbox>
            </v:roundrect>
            <v:shape id="Text Box 2" o:spid="_x0000_s1365" type="#_x0000_t202" style="position:absolute;left:5413;top:1996;width:1203;height:3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fit-shape-to-text:t">
                <w:txbxContent>
                  <w:p w:rsidR="0007660D" w:rsidRPr="00566F7A" w:rsidRDefault="0007660D" w:rsidP="0007660D">
                    <w:pPr>
                      <w:rPr>
                        <w:sz w:val="16"/>
                        <w:szCs w:val="16"/>
                      </w:rPr>
                    </w:pPr>
                    <w:r>
                      <w:rPr>
                        <w:sz w:val="16"/>
                        <w:szCs w:val="16"/>
                      </w:rPr>
                      <w:t>Distribute Job</w:t>
                    </w:r>
                  </w:p>
                </w:txbxContent>
              </v:textbox>
            </v:shape>
            <v:shape id="Text Box 2" o:spid="_x0000_s1366" type="#_x0000_t202" style="position:absolute;left:4953;top:3315;width:1203;height:328;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fit-shape-to-text:t">
                <w:txbxContent>
                  <w:p w:rsidR="0007660D" w:rsidRPr="00566F7A" w:rsidRDefault="0007660D" w:rsidP="0007660D">
                    <w:pPr>
                      <w:rPr>
                        <w:sz w:val="16"/>
                        <w:szCs w:val="16"/>
                      </w:rPr>
                    </w:pPr>
                    <w:r w:rsidRPr="00566F7A">
                      <w:rPr>
                        <w:sz w:val="16"/>
                        <w:szCs w:val="16"/>
                      </w:rPr>
                      <w:t>Wr</w:t>
                    </w:r>
                    <w:r>
                      <w:rPr>
                        <w:sz w:val="16"/>
                        <w:szCs w:val="16"/>
                      </w:rPr>
                      <w:t>ite Results</w:t>
                    </w:r>
                  </w:p>
                </w:txbxContent>
              </v:textbox>
            </v:shape>
            <v:roundrect id="_x0000_s1367" style="position:absolute;left:1752;top:1531;width:1491;height:984" arcsize="10923f">
              <v:textbox style="mso-next-textbox:#_x0000_s1367">
                <w:txbxContent>
                  <w:p w:rsidR="0007660D" w:rsidRPr="00C47422" w:rsidRDefault="0007660D" w:rsidP="0007660D">
                    <w:pPr>
                      <w:rPr>
                        <w:sz w:val="16"/>
                        <w:szCs w:val="16"/>
                      </w:rPr>
                    </w:pPr>
                    <w:r>
                      <w:rPr>
                        <w:sz w:val="16"/>
                        <w:szCs w:val="16"/>
                      </w:rPr>
                      <w:t>Job Configuration and Submission Tool</w:t>
                    </w:r>
                  </w:p>
                </w:txbxContent>
              </v:textbox>
            </v:roundrect>
            <v:roundrect id="_x0000_s1368" style="position:absolute;left:4416;top:2290;width:1090;height:782" arcsize="10923f">
              <v:textbox style="mso-next-textbox:#_x0000_s1368" inset=",4.32pt">
                <w:txbxContent>
                  <w:p w:rsidR="0007660D" w:rsidRPr="00C47422" w:rsidRDefault="0007660D" w:rsidP="0007660D">
                    <w:pPr>
                      <w:rPr>
                        <w:sz w:val="16"/>
                        <w:szCs w:val="16"/>
                      </w:rPr>
                    </w:pPr>
                    <w:r>
                      <w:rPr>
                        <w:sz w:val="16"/>
                        <w:szCs w:val="16"/>
                      </w:rPr>
                      <w:t xml:space="preserve">Cluster </w:t>
                    </w:r>
                    <w:r w:rsidRPr="00C47422">
                      <w:rPr>
                        <w:sz w:val="16"/>
                        <w:szCs w:val="16"/>
                      </w:rPr>
                      <w:t>Head</w:t>
                    </w:r>
                    <w:r>
                      <w:rPr>
                        <w:sz w:val="16"/>
                        <w:szCs w:val="16"/>
                      </w:rPr>
                      <w:t>-</w:t>
                    </w:r>
                    <w:r w:rsidRPr="00C47422">
                      <w:rPr>
                        <w:sz w:val="16"/>
                        <w:szCs w:val="16"/>
                      </w:rPr>
                      <w:t>node</w:t>
                    </w:r>
                  </w:p>
                </w:txbxContent>
              </v:textbox>
            </v:roundrect>
            <v:roundrect id="_x0000_s1369" style="position:absolute;left:6636;top:1984;width:4620;height:1402" arcsize="10923f">
              <v:stroke dashstyle="dash"/>
              <v:textbox style="mso-next-textbox:#_x0000_s1369">
                <w:txbxContent>
                  <w:p w:rsidR="0007660D" w:rsidRPr="00B3598B" w:rsidRDefault="0007660D" w:rsidP="0007660D">
                    <w:pPr>
                      <w:jc w:val="right"/>
                      <w:rPr>
                        <w:sz w:val="16"/>
                        <w:szCs w:val="16"/>
                      </w:rPr>
                    </w:pPr>
                    <w:r w:rsidRPr="00B3598B">
                      <w:rPr>
                        <w:sz w:val="16"/>
                        <w:szCs w:val="16"/>
                      </w:rPr>
                      <w:t>Compute Nodes</w:t>
                    </w:r>
                  </w:p>
                </w:txbxContent>
              </v:textbox>
            </v:roundrect>
            <v:oval id="_x0000_s1370" style="position:absolute;left:6811;top:2517;width:1178;height:698">
              <v:textbox style="mso-next-textbox:#_x0000_s1370" inset=",,0,0">
                <w:txbxContent>
                  <w:p w:rsidR="0007660D" w:rsidRPr="00C47422" w:rsidRDefault="0007660D" w:rsidP="0007660D">
                    <w:pPr>
                      <w:jc w:val="both"/>
                      <w:rPr>
                        <w:sz w:val="16"/>
                        <w:szCs w:val="16"/>
                      </w:rPr>
                    </w:pPr>
                    <w:r>
                      <w:rPr>
                        <w:sz w:val="16"/>
                        <w:szCs w:val="16"/>
                      </w:rPr>
                      <w:t>Sequence Aligning</w:t>
                    </w:r>
                  </w:p>
                </w:txbxContent>
              </v:textbox>
            </v:oval>
            <v:oval id="_x0000_s1371" style="position:absolute;left:8401;top:2518;width:1180;height:697">
              <v:textbox style="mso-next-textbox:#_x0000_s1371" inset=",,0,0">
                <w:txbxContent>
                  <w:p w:rsidR="0007660D" w:rsidRPr="00C47422" w:rsidRDefault="0007660D" w:rsidP="0007660D">
                    <w:pPr>
                      <w:jc w:val="both"/>
                      <w:rPr>
                        <w:sz w:val="16"/>
                        <w:szCs w:val="16"/>
                      </w:rPr>
                    </w:pPr>
                    <w:r>
                      <w:rPr>
                        <w:sz w:val="16"/>
                        <w:szCs w:val="16"/>
                      </w:rPr>
                      <w:t>Pairwise Clustering</w:t>
                    </w:r>
                  </w:p>
                </w:txbxContent>
              </v:textbox>
            </v:oval>
            <v:oval id="_x0000_s1372" style="position:absolute;left:9879;top:2518;width:1178;height:697">
              <v:textbox style="mso-next-textbox:#_x0000_s1372" inset=",,0,0">
                <w:txbxContent>
                  <w:p w:rsidR="0007660D" w:rsidRPr="00C47422" w:rsidRDefault="0007660D" w:rsidP="0007660D">
                    <w:pPr>
                      <w:jc w:val="both"/>
                      <w:rPr>
                        <w:sz w:val="16"/>
                        <w:szCs w:val="16"/>
                      </w:rPr>
                    </w:pPr>
                    <w:r>
                      <w:rPr>
                        <w:sz w:val="16"/>
                        <w:szCs w:val="16"/>
                      </w:rPr>
                      <w:t>Dimension Scaling</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373" type="#_x0000_t38" style="position:absolute;left:8674;top:1243;width:103;height:2652;rotation:270;flip:y" o:connectortype="curved" adj="-75495,-48095,1461460">
              <v:stroke endarrow="block"/>
            </v:shape>
            <v:shapetype id="_x0000_t32" coordsize="21600,21600" o:spt="32" o:oned="t" path="m,l21600,21600e" filled="f">
              <v:path arrowok="t" fillok="f" o:connecttype="none"/>
              <o:lock v:ext="edit" shapetype="t"/>
            </v:shapetype>
            <v:shape id="_x0000_s1374" type="#_x0000_t32" style="position:absolute;left:7989;top:2866;width:412;height:1" o:connectortype="straight">
              <v:stroke endarrow="block"/>
            </v:shape>
            <v:shape id="_x0000_s1375" type="#_x0000_t32" style="position:absolute;left:5506;top:2681;width:1130;height:4" o:connectortype="straight">
              <v:stroke endarrow="block"/>
            </v:shape>
            <v:shape id="_x0000_s1376" type="#_x0000_t32" style="position:absolute;left:5506;top:2681;width:1125;height:292" o:connectortype="straight">
              <v:stroke endarrow="block"/>
            </v:shape>
            <v:shape id="_x0000_s1377" type="#_x0000_t32" style="position:absolute;left:5506;top:2385;width:1138;height:296;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78" type="#_x0000_t34" style="position:absolute;left:6904;top:1129;width:143;height:4030;rotation:90;flip:y" o:connectortype="elbow" adj="-54227,-35391,1292979">
              <v:stroke endarrow="block"/>
            </v:shape>
            <v:shape id="_x0000_s1379" type="#_x0000_t34" style="position:absolute;left:9729;top:2477;width:1;height:1477;rotation:90" o:connectortype="elbow" adj="7754400,-96564,-216799200"/>
            <v:roundrect id="_x0000_s1380" style="position:absolute;left:1752;top:2790;width:1491;height:803" arcsize="10923f">
              <v:textbox style="mso-next-textbox:#_x0000_s1380">
                <w:txbxContent>
                  <w:p w:rsidR="0007660D" w:rsidRPr="00C47422" w:rsidRDefault="0007660D" w:rsidP="0007660D">
                    <w:pPr>
                      <w:rPr>
                        <w:sz w:val="16"/>
                        <w:szCs w:val="16"/>
                      </w:rPr>
                    </w:pPr>
                    <w:r>
                      <w:rPr>
                        <w:sz w:val="16"/>
                        <w:szCs w:val="16"/>
                      </w:rPr>
                      <w:t>PlotViz - 3D Visualization Tool</w:t>
                    </w:r>
                  </w:p>
                </w:txbxContent>
              </v:textbox>
            </v:roundrect>
            <v:shape id="_x0000_s1381" type="#_x0000_t32" style="position:absolute;left:3243;top:2023;width:1173;height:386" o:connectortype="straight">
              <v:stroke endarrow="block"/>
            </v:shape>
            <v:shape id="_x0000_s1382" type="#_x0000_t32" style="position:absolute;left:3243;top:2898;width:1173;height:294;flip:x" o:connectortype="straight">
              <v:stroke endarrow="block"/>
            </v:shape>
            <w10:wrap type="none"/>
            <w10:anchorlock/>
          </v:group>
        </w:pict>
      </w:r>
    </w:p>
    <w:p w:rsidR="0007660D" w:rsidRPr="00D65FB4" w:rsidRDefault="0007660D" w:rsidP="0007660D">
      <w:pPr>
        <w:pStyle w:val="figurecaption"/>
        <w:rPr>
          <w:b/>
        </w:rPr>
      </w:pPr>
      <w:r w:rsidRPr="00E95DC1">
        <w:t>Software Collection in Bioseqeunce Classification</w:t>
      </w:r>
    </w:p>
    <w:p w:rsidR="00D65FB4" w:rsidRPr="0007660D" w:rsidRDefault="00D65FB4" w:rsidP="00D65FB4">
      <w:pPr>
        <w:pStyle w:val="figurecaption"/>
        <w:numPr>
          <w:ilvl w:val="0"/>
          <w:numId w:val="0"/>
        </w:numPr>
        <w:jc w:val="both"/>
        <w:rPr>
          <w:b/>
        </w:rPr>
      </w:pPr>
    </w:p>
    <w:p w:rsidR="0007660D" w:rsidRDefault="0007660D" w:rsidP="0007660D">
      <w:pPr>
        <w:pStyle w:val="figurecaption"/>
        <w:sectPr w:rsidR="0007660D" w:rsidSect="00C47422">
          <w:type w:val="continuous"/>
          <w:pgSz w:w="12240" w:h="15840" w:code="1"/>
          <w:pgMar w:top="1440" w:right="1080" w:bottom="1440" w:left="1080" w:header="720" w:footer="720" w:gutter="0"/>
          <w:cols w:space="360"/>
          <w:docGrid w:linePitch="360"/>
        </w:sectPr>
      </w:pPr>
    </w:p>
    <w:p w:rsidR="001A6948" w:rsidRDefault="001A6948" w:rsidP="001A6948">
      <w:pPr>
        <w:pStyle w:val="Heading1"/>
      </w:pPr>
      <w:r>
        <w:lastRenderedPageBreak/>
        <w:t>Service-Oriented Architecture</w:t>
      </w:r>
    </w:p>
    <w:p w:rsidR="001A6948" w:rsidRDefault="001A6948" w:rsidP="001A6948">
      <w:pPr>
        <w:pStyle w:val="BodyText"/>
      </w:pPr>
      <w:r>
        <w:t>Software utilities designed to chain multiple applications into a coherent workflow, such as the biosequence classification scheme described above, have the potential to dramatically reduce the manual effort required to perform sophisticated scientific analyses of large result sets.  However, in order to successfully manage the deluge of data generated by modern laboratory techniques, scientists are becoming increasingly reliant on high performance computing (HPC) resources, such as Clouds and more traditional Grids.  Managing data and computational jobs on distributed, and potentially heterogeneous, platforms can rob scientists of valuable research time as they wrestle with the manual effort of tracking their work.</w:t>
      </w:r>
    </w:p>
    <w:p w:rsidR="001A6948" w:rsidRDefault="001A6948" w:rsidP="001A6948">
      <w:pPr>
        <w:pStyle w:val="BodyText"/>
      </w:pPr>
      <w:r>
        <w:lastRenderedPageBreak/>
        <w:t>To help overcome this bottleneck, the SALSA Portal is being developed as a suite of generic web services for creating and managing HPC jobs on a wide variety of computing platforms.  Because these utilities are presented as services, they are readily consumable by many types of software clients [11], including web sites and desktop applications, allowing end users to compose the services into utilities that satisfy their individual needs.  Furthermore, the service architecture is fully extensible, enabling access to new analysis tools and computing platforms, as they become available, with minimal new development effort.</w:t>
      </w:r>
    </w:p>
    <w:p w:rsidR="001A6948" w:rsidRDefault="001A6948" w:rsidP="001A6948">
      <w:pPr>
        <w:pStyle w:val="BodyText"/>
      </w:pPr>
    </w:p>
    <w:p w:rsidR="001A6948" w:rsidRDefault="001A6948" w:rsidP="001A6948">
      <w:pPr>
        <w:pStyle w:val="BodyText"/>
      </w:pPr>
    </w:p>
    <w:p w:rsidR="001A6948" w:rsidRDefault="001A6948" w:rsidP="00F43310">
      <w:pPr>
        <w:pStyle w:val="figurecaption"/>
        <w:numPr>
          <w:ilvl w:val="0"/>
          <w:numId w:val="0"/>
        </w:numPr>
        <w:sectPr w:rsidR="001A6948" w:rsidSect="00E77B53">
          <w:type w:val="continuous"/>
          <w:pgSz w:w="12240" w:h="15840" w:code="1"/>
          <w:pgMar w:top="1440" w:right="1080" w:bottom="1440" w:left="1080" w:header="720" w:footer="720" w:gutter="0"/>
          <w:cols w:num="2" w:space="360"/>
          <w:docGrid w:linePitch="360"/>
        </w:sectPr>
      </w:pPr>
    </w:p>
    <w:p w:rsidR="00D65FB4" w:rsidRDefault="00D65FB4" w:rsidP="00F43310">
      <w:pPr>
        <w:pStyle w:val="figurecaption"/>
        <w:numPr>
          <w:ilvl w:val="0"/>
          <w:numId w:val="0"/>
        </w:numPr>
      </w:pPr>
    </w:p>
    <w:p w:rsidR="00D65FB4" w:rsidRDefault="00D65FB4" w:rsidP="00F43310">
      <w:pPr>
        <w:pStyle w:val="figurecaption"/>
        <w:numPr>
          <w:ilvl w:val="0"/>
          <w:numId w:val="0"/>
        </w:numPr>
      </w:pPr>
    </w:p>
    <w:p w:rsidR="00F43310" w:rsidRDefault="00F43310" w:rsidP="00F43310">
      <w:pPr>
        <w:pStyle w:val="figurecaption"/>
        <w:numPr>
          <w:ilvl w:val="0"/>
          <w:numId w:val="0"/>
        </w:numPr>
      </w:pPr>
      <w:r>
        <w:drawing>
          <wp:inline distT="0" distB="0" distL="0" distR="0">
            <wp:extent cx="4848225" cy="2864354"/>
            <wp:effectExtent l="19050" t="0" r="9525" b="0"/>
            <wp:docPr id="14" name="Picture 22" descr="C:\Users\adalhugh.ADS\Desktop\SALSAUseC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alhugh.ADS\Desktop\SALSAUseCases.png"/>
                    <pic:cNvPicPr>
                      <a:picLocks noChangeAspect="1" noChangeArrowheads="1"/>
                    </pic:cNvPicPr>
                  </pic:nvPicPr>
                  <pic:blipFill>
                    <a:blip r:embed="rId12" cstate="print"/>
                    <a:srcRect/>
                    <a:stretch>
                      <a:fillRect/>
                    </a:stretch>
                  </pic:blipFill>
                  <pic:spPr bwMode="auto">
                    <a:xfrm>
                      <a:off x="0" y="0"/>
                      <a:ext cx="4856015" cy="2868956"/>
                    </a:xfrm>
                    <a:prstGeom prst="rect">
                      <a:avLst/>
                    </a:prstGeom>
                    <a:noFill/>
                    <a:ln w="9525">
                      <a:noFill/>
                      <a:miter lim="800000"/>
                      <a:headEnd/>
                      <a:tailEnd/>
                    </a:ln>
                  </pic:spPr>
                </pic:pic>
              </a:graphicData>
            </a:graphic>
          </wp:inline>
        </w:drawing>
      </w:r>
    </w:p>
    <w:p w:rsidR="00F43310" w:rsidRPr="00F43310" w:rsidRDefault="00F43310" w:rsidP="00F43310">
      <w:pPr>
        <w:pStyle w:val="figurecaption"/>
        <w:rPr>
          <w:b/>
        </w:rPr>
      </w:pPr>
      <w:r>
        <w:t>This use-case diagram shows the functionalities for high-performance computing resource and job management provided by the SALSA Portal web services</w:t>
      </w:r>
      <w:r w:rsidRPr="00E95DC1">
        <w:t xml:space="preserve"> Collection in Bioseqeunce Classification</w:t>
      </w:r>
    </w:p>
    <w:p w:rsidR="00F43310" w:rsidRDefault="00F43310" w:rsidP="00F43310">
      <w:pPr>
        <w:pStyle w:val="figurecaption"/>
        <w:numPr>
          <w:ilvl w:val="0"/>
          <w:numId w:val="0"/>
        </w:numPr>
        <w:ind w:left="216"/>
        <w:jc w:val="both"/>
        <w:sectPr w:rsidR="00F43310" w:rsidSect="002D7C57">
          <w:type w:val="continuous"/>
          <w:pgSz w:w="12240" w:h="15840" w:code="1"/>
          <w:pgMar w:top="1440" w:right="1080" w:bottom="1440" w:left="1080" w:header="720" w:footer="720" w:gutter="0"/>
          <w:cols w:space="360"/>
          <w:docGrid w:linePitch="360"/>
        </w:sectPr>
      </w:pPr>
    </w:p>
    <w:p w:rsidR="0025609E" w:rsidRDefault="0025609E" w:rsidP="0025609E">
      <w:pPr>
        <w:pStyle w:val="Heading2"/>
      </w:pPr>
      <w:r>
        <w:lastRenderedPageBreak/>
        <w:t>Portal Functionality</w:t>
      </w:r>
    </w:p>
    <w:p w:rsidR="0025609E" w:rsidRPr="0083767A" w:rsidRDefault="0025609E" w:rsidP="0025609E">
      <w:pPr>
        <w:pStyle w:val="BodyText"/>
      </w:pPr>
      <w:r>
        <w:t xml:space="preserve">In order to provide access to a wide array of scientific software tools and computing platforms, the Portal services must present flexible, extensible interfaces.  Even so, certain foundational functionalities are required for managing computational jobs under most conditions, and these </w:t>
      </w:r>
      <w:r>
        <w:rPr>
          <w:i/>
        </w:rPr>
        <w:t>use cases</w:t>
      </w:r>
      <w:r>
        <w:t xml:space="preserve">, as depicted in Fig. 3, form the basis for the Portal’s design.  The major areas of functionality provided by Portal services are as follows:   </w:t>
      </w:r>
    </w:p>
    <w:p w:rsidR="0025609E" w:rsidRPr="009C7920" w:rsidRDefault="0025609E" w:rsidP="0025609E">
      <w:pPr>
        <w:pStyle w:val="Heading3"/>
        <w:numPr>
          <w:ilvl w:val="2"/>
          <w:numId w:val="13"/>
        </w:numPr>
        <w:rPr>
          <w:i w:val="0"/>
        </w:rPr>
      </w:pPr>
      <w:r>
        <w:t>Security</w:t>
      </w:r>
      <w:r w:rsidRPr="009C7920">
        <w:t>:</w:t>
      </w:r>
      <w:r>
        <w:t xml:space="preserve"> </w:t>
      </w:r>
      <w:r>
        <w:rPr>
          <w:i w:val="0"/>
        </w:rPr>
        <w:t>Access to computing resources and data must be managed to ensure the integrity of the sytems and the privacy of important research data.</w:t>
      </w:r>
    </w:p>
    <w:p w:rsidR="0025609E" w:rsidRDefault="0025609E" w:rsidP="0025609E">
      <w:pPr>
        <w:pStyle w:val="Heading3"/>
        <w:numPr>
          <w:ilvl w:val="2"/>
          <w:numId w:val="13"/>
        </w:numPr>
      </w:pPr>
      <w:r>
        <w:t xml:space="preserve">Resource Discovery: </w:t>
      </w:r>
      <w:r>
        <w:rPr>
          <w:i w:val="0"/>
        </w:rPr>
        <w:t>The system needs to provide information to users about which computing platforms and software tools are available to them at any given time.</w:t>
      </w:r>
    </w:p>
    <w:p w:rsidR="0025609E" w:rsidRPr="007F30B1" w:rsidRDefault="0025609E" w:rsidP="0025609E">
      <w:pPr>
        <w:pStyle w:val="Heading3"/>
        <w:numPr>
          <w:ilvl w:val="2"/>
          <w:numId w:val="13"/>
        </w:numPr>
        <w:rPr>
          <w:i w:val="0"/>
        </w:rPr>
      </w:pPr>
      <w:r>
        <w:t xml:space="preserve">Data Transfer: </w:t>
      </w:r>
      <w:r w:rsidRPr="007F30B1">
        <w:rPr>
          <w:i w:val="0"/>
        </w:rPr>
        <w:t>Users need the ability to transfer input data to the HPC machines where their jobs will be run and to retrieve results from these machines when jobs have completed.</w:t>
      </w:r>
    </w:p>
    <w:p w:rsidR="0025609E" w:rsidRDefault="0025609E" w:rsidP="0025609E">
      <w:pPr>
        <w:pStyle w:val="Heading3"/>
        <w:numPr>
          <w:ilvl w:val="2"/>
          <w:numId w:val="13"/>
        </w:numPr>
      </w:pPr>
      <w:r>
        <w:t xml:space="preserve">Job Management: </w:t>
      </w:r>
      <w:r>
        <w:rPr>
          <w:i w:val="0"/>
        </w:rPr>
        <w:t>In order to take full advantage of available resources, users need the ability to build, submit, monitor, and cancel computational jobs.</w:t>
      </w:r>
    </w:p>
    <w:p w:rsidR="0025609E" w:rsidRDefault="0025609E" w:rsidP="0025609E">
      <w:pPr>
        <w:pStyle w:val="Heading3"/>
        <w:numPr>
          <w:ilvl w:val="2"/>
          <w:numId w:val="13"/>
        </w:numPr>
        <w:rPr>
          <w:i w:val="0"/>
        </w:rPr>
      </w:pPr>
      <w:r>
        <w:t xml:space="preserve">Portal Administration: </w:t>
      </w:r>
      <w:r>
        <w:rPr>
          <w:i w:val="0"/>
        </w:rPr>
        <w:t xml:space="preserve">The system must provide an interface for administrative users to conduct basic portal maintenance activities, including the management of portal configurations, user accounts, and user jobs. </w:t>
      </w:r>
    </w:p>
    <w:p w:rsidR="0025609E" w:rsidRDefault="0025609E" w:rsidP="0025609E">
      <w:pPr>
        <w:pStyle w:val="figurecaption"/>
        <w:numPr>
          <w:ilvl w:val="0"/>
          <w:numId w:val="0"/>
        </w:numPr>
        <w:jc w:val="both"/>
      </w:pPr>
    </w:p>
    <w:p w:rsidR="0025609E" w:rsidRPr="00E91A23" w:rsidRDefault="0025609E" w:rsidP="0025609E"/>
    <w:p w:rsidR="0025609E" w:rsidRDefault="0025609E" w:rsidP="0025609E">
      <w:pPr>
        <w:pStyle w:val="Heading2"/>
      </w:pPr>
      <w:r>
        <w:t>Portal Design and Architecture</w:t>
      </w:r>
    </w:p>
    <w:p w:rsidR="0025609E" w:rsidRDefault="0025609E" w:rsidP="0025609E">
      <w:pPr>
        <w:pStyle w:val="BodyText"/>
      </w:pPr>
      <w:r>
        <w:t xml:space="preserve">Sustained rapid advances in the physical sciences necessitate the timely development of new software tools and continual improvement of existing utilities in order to allow scientist to analyze increasingly large results sets.  Likewise, available computing resources are generally in a state of slow flux as existing clusters are expanded or reconfigured, new grid resources become available, and Cloud Computing options are explored.  </w:t>
      </w:r>
      <w:r w:rsidRPr="00487F91">
        <w:rPr>
          <w:rStyle w:val="apple-style-span"/>
          <w:color w:val="000000"/>
        </w:rPr>
        <w:t xml:space="preserve">Because of this variable computing landscape, the Portal design must provide a general framework for managing HPC jobs, but also be </w:t>
      </w:r>
      <w:r>
        <w:rPr>
          <w:rStyle w:val="apple-style-span"/>
          <w:color w:val="000000"/>
        </w:rPr>
        <w:t>readily</w:t>
      </w:r>
      <w:r w:rsidRPr="00487F91">
        <w:rPr>
          <w:rStyle w:val="apple-style-span"/>
          <w:color w:val="000000"/>
        </w:rPr>
        <w:t xml:space="preserve"> extensible for future viability.</w:t>
      </w:r>
      <w:r>
        <w:t xml:space="preserve"> </w:t>
      </w:r>
    </w:p>
    <w:p w:rsidR="0025609E" w:rsidRDefault="0025609E" w:rsidP="0025609E">
      <w:pPr>
        <w:pStyle w:val="BodyText"/>
      </w:pPr>
      <w:r>
        <w:t xml:space="preserve">To address these requirements, the SALSA Portal was designed as a Service-Oriented Architecture (SOA) arranged in logical layers [12], as shown in Fig. 4, allowing for software reuse and the composition of available functionalities.  Each layer consists of a set of software components that may be used to carry out the various actions required for job and resource management.  In order to ensure the continued integrity of Portal operations, components in one layer may only access other components from its own layer or from the layers below it in the logical hierarchy. Each of the Portal layers is discussed here in turn.  </w:t>
      </w:r>
    </w:p>
    <w:p w:rsidR="0025609E" w:rsidRDefault="0025609E" w:rsidP="0025609E">
      <w:pPr>
        <w:pStyle w:val="Heading3"/>
        <w:numPr>
          <w:ilvl w:val="2"/>
          <w:numId w:val="12"/>
        </w:numPr>
        <w:rPr>
          <w:i w:val="0"/>
        </w:rPr>
      </w:pPr>
      <w:r>
        <w:t>Resource Layer</w:t>
      </w:r>
      <w:r w:rsidRPr="009C7920">
        <w:t>:</w:t>
      </w:r>
      <w:r>
        <w:t xml:space="preserve"> </w:t>
      </w:r>
      <w:r>
        <w:rPr>
          <w:i w:val="0"/>
        </w:rPr>
        <w:t xml:space="preserve">This is a heterogeneous layer consisting of foundational resources accessed by other layers of the Portal, including HPC machines, Active </w:t>
      </w:r>
      <w:r>
        <w:rPr>
          <w:i w:val="0"/>
        </w:rPr>
        <w:lastRenderedPageBreak/>
        <w:t xml:space="preserve">Directory services (in a Windows environment), and various </w:t>
      </w:r>
      <w:r w:rsidRPr="00A2121B">
        <w:rPr>
          <w:i w:val="0"/>
        </w:rPr>
        <w:t>databases, either existing or created specifically for Portal use.  Transparent access to these resources is the overriding aim of the entire Portal system.</w:t>
      </w:r>
    </w:p>
    <w:p w:rsidR="002F6849" w:rsidRPr="00F43310" w:rsidRDefault="002F6849" w:rsidP="002F6849">
      <w:pPr>
        <w:pStyle w:val="Heading3"/>
        <w:numPr>
          <w:ilvl w:val="2"/>
          <w:numId w:val="12"/>
        </w:numPr>
        <w:rPr>
          <w:i w:val="0"/>
        </w:rPr>
      </w:pPr>
      <w:r>
        <w:t xml:space="preserve">Resource Access: </w:t>
      </w:r>
      <w:r w:rsidRPr="00EE0BA5">
        <w:rPr>
          <w:i w:val="0"/>
        </w:rPr>
        <w:t>The Resource Access layer consists of a set of software components that serve as connectors from the higher-level layers in the system to the Resource Layer below.  These components are generally designed to be services but may be simple libraries, depening on context and complexity</w:t>
      </w:r>
      <w:r>
        <w:rPr>
          <w:i w:val="0"/>
        </w:rPr>
        <w:t>.</w:t>
      </w:r>
    </w:p>
    <w:p w:rsidR="002F6849" w:rsidRDefault="002F6849" w:rsidP="002F6849">
      <w:pPr>
        <w:pStyle w:val="Heading3"/>
        <w:numPr>
          <w:ilvl w:val="2"/>
          <w:numId w:val="12"/>
        </w:numPr>
        <w:rPr>
          <w:i w:val="0"/>
        </w:rPr>
      </w:pPr>
      <w:r>
        <w:t xml:space="preserve">Workflow Logic: </w:t>
      </w:r>
      <w:r w:rsidRPr="00EE0BA5">
        <w:rPr>
          <w:i w:val="0"/>
        </w:rPr>
        <w:t>T</w:t>
      </w:r>
      <w:r>
        <w:rPr>
          <w:i w:val="0"/>
        </w:rPr>
        <w:t xml:space="preserve">he software components in this layer implement the logic necessary to carry out the user-facing functionaities discussed in section III.A.  In general, a </w:t>
      </w:r>
      <w:r w:rsidRPr="00EE0BA5">
        <w:t>Manager</w:t>
      </w:r>
      <w:r>
        <w:rPr>
          <w:i w:val="0"/>
        </w:rPr>
        <w:t xml:space="preserve"> component orchestrates the implementation of a use case by invoking one or more </w:t>
      </w:r>
      <w:r w:rsidRPr="00EE0BA5">
        <w:t>Engine</w:t>
      </w:r>
      <w:r>
        <w:rPr>
          <w:i w:val="0"/>
        </w:rPr>
        <w:t xml:space="preserve"> components, which carry out specific logic.  Because the Managers are client-facing, each is implemented as a web service, as are most of the Engines, allowing for agile use case composition.</w:t>
      </w:r>
    </w:p>
    <w:p w:rsidR="002F6849" w:rsidRPr="004F017A" w:rsidRDefault="002F6849" w:rsidP="002F6849">
      <w:pPr>
        <w:pStyle w:val="Heading3"/>
        <w:numPr>
          <w:ilvl w:val="2"/>
          <w:numId w:val="12"/>
        </w:numPr>
      </w:pPr>
      <w:r>
        <w:t xml:space="preserve">Client: </w:t>
      </w:r>
      <w:r w:rsidRPr="004F017A">
        <w:rPr>
          <w:i w:val="0"/>
        </w:rPr>
        <w:t xml:space="preserve">This layer is not a part of the actual Portal system, but represents the ultimate presentation of Portal capabilities to end-users.  Because the Portal exposes its Manager components as web services, many different types of client applications can be built which use these components, depending on the specific problem domain and user needs.   </w:t>
      </w:r>
    </w:p>
    <w:p w:rsidR="002F6849" w:rsidRDefault="002F6849" w:rsidP="002F6849">
      <w:pPr>
        <w:pStyle w:val="Heading3"/>
        <w:numPr>
          <w:ilvl w:val="2"/>
          <w:numId w:val="12"/>
        </w:numPr>
        <w:rPr>
          <w:i w:val="0"/>
        </w:rPr>
      </w:pPr>
      <w:r>
        <w:t xml:space="preserve">Utilities: </w:t>
      </w:r>
      <w:r w:rsidRPr="00125419">
        <w:rPr>
          <w:i w:val="0"/>
        </w:rPr>
        <w:t xml:space="preserve">The Portal utilities are a set of software components that provide functionality needed by several other Portal components, such as logging and string functions.  The utility classes do not strictly define a layer, as they are are available to components from any </w:t>
      </w:r>
      <w:r>
        <w:rPr>
          <w:i w:val="0"/>
        </w:rPr>
        <w:t>other region of the architecture.</w:t>
      </w:r>
    </w:p>
    <w:p w:rsidR="00490F87" w:rsidRDefault="00490F87" w:rsidP="00490F87"/>
    <w:p w:rsidR="00490F87" w:rsidRPr="005B520E" w:rsidRDefault="00490F87" w:rsidP="00490F87">
      <w:pPr>
        <w:pStyle w:val="Heading2"/>
      </w:pPr>
      <w:r>
        <w:t>Portal Implementation</w:t>
      </w:r>
    </w:p>
    <w:p w:rsidR="00490F87" w:rsidRDefault="00490F87" w:rsidP="00490F87">
      <w:pPr>
        <w:pStyle w:val="BodyText"/>
      </w:pPr>
      <w:r>
        <w:t>Because of the flexibility that they offer in system design and composition, web services have become very popular,  as an extension of the generalized SOA described in [12], across a broad spectrum of application domains and project settings.  Not surprisingly, this popularity has led to the evolution of many different frameworks for implementing web services.  Among the more widely used of these paradigms are those based on Java and .NET technologies, such as Apache Axis and ASP.NET web services, respectively ([13] and [14]).</w:t>
      </w:r>
    </w:p>
    <w:p w:rsidR="00F0281D" w:rsidRDefault="00490F87" w:rsidP="00490F87">
      <w:pPr>
        <w:pStyle w:val="BodyText"/>
      </w:pPr>
      <w:r>
        <w:t xml:space="preserve">While each of these technologies presents certain benefits and drawbacks, the emergence of the Windows Communication Foundation (WCF) provides developers with a comprehensive set of features that make WCF very attractive for enterprise-quality software production in a variety of settings, as in [11].    In the context of the SALSA Portal, WCF offers service-level security and logging, the ability to use WCF components as plain classes locally or deploy them as services, streaming data transfer, and the relative stability and low maintenance of the Internet Information Services (IIS) application container [11].  </w:t>
      </w:r>
    </w:p>
    <w:p w:rsidR="00F0281D" w:rsidRDefault="00F0281D" w:rsidP="00490F87">
      <w:pPr>
        <w:pStyle w:val="BodyText"/>
      </w:pPr>
    </w:p>
    <w:p w:rsidR="00F0281D" w:rsidRDefault="00F0281D" w:rsidP="00F0281D">
      <w:pPr>
        <w:pStyle w:val="figurecaption"/>
        <w:numPr>
          <w:ilvl w:val="0"/>
          <w:numId w:val="0"/>
        </w:numPr>
        <w:sectPr w:rsidR="00F0281D" w:rsidSect="00E77B53">
          <w:type w:val="continuous"/>
          <w:pgSz w:w="12240" w:h="15840" w:code="1"/>
          <w:pgMar w:top="1440" w:right="1080" w:bottom="1440" w:left="1080" w:header="720" w:footer="720" w:gutter="0"/>
          <w:cols w:num="2" w:space="360"/>
          <w:docGrid w:linePitch="360"/>
        </w:sectPr>
      </w:pPr>
    </w:p>
    <w:p w:rsidR="00F0281D" w:rsidRDefault="00F0281D" w:rsidP="00F0281D">
      <w:pPr>
        <w:pStyle w:val="figurecaption"/>
        <w:numPr>
          <w:ilvl w:val="0"/>
          <w:numId w:val="0"/>
        </w:numPr>
      </w:pPr>
    </w:p>
    <w:p w:rsidR="00F0281D" w:rsidRDefault="00F0281D" w:rsidP="00F0281D">
      <w:pPr>
        <w:pStyle w:val="figurecaption"/>
        <w:numPr>
          <w:ilvl w:val="0"/>
          <w:numId w:val="0"/>
        </w:numPr>
      </w:pPr>
    </w:p>
    <w:p w:rsidR="00F0281D" w:rsidRDefault="00F0281D" w:rsidP="00F0281D">
      <w:pPr>
        <w:pStyle w:val="figurecaption"/>
        <w:numPr>
          <w:ilvl w:val="0"/>
          <w:numId w:val="0"/>
        </w:numPr>
      </w:pPr>
      <w:r>
        <w:drawing>
          <wp:inline distT="0" distB="0" distL="0" distR="0">
            <wp:extent cx="4276725" cy="3207544"/>
            <wp:effectExtent l="19050" t="0" r="0" b="0"/>
            <wp:docPr id="6" name="Picture 16" descr="http://salsahpc.indiana.edu/nih/images/6/68/SalsaPortalArchitectu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sahpc.indiana.edu/nih/images/6/68/SalsaPortalArchitectureSmall.png"/>
                    <pic:cNvPicPr>
                      <a:picLocks noChangeAspect="1" noChangeArrowheads="1"/>
                    </pic:cNvPicPr>
                  </pic:nvPicPr>
                  <pic:blipFill>
                    <a:blip r:embed="rId13" cstate="print"/>
                    <a:srcRect/>
                    <a:stretch>
                      <a:fillRect/>
                    </a:stretch>
                  </pic:blipFill>
                  <pic:spPr bwMode="auto">
                    <a:xfrm>
                      <a:off x="0" y="0"/>
                      <a:ext cx="4279859" cy="3209895"/>
                    </a:xfrm>
                    <a:prstGeom prst="rect">
                      <a:avLst/>
                    </a:prstGeom>
                    <a:noFill/>
                    <a:ln w="9525">
                      <a:noFill/>
                      <a:miter lim="800000"/>
                      <a:headEnd/>
                      <a:tailEnd/>
                    </a:ln>
                  </pic:spPr>
                </pic:pic>
              </a:graphicData>
            </a:graphic>
          </wp:inline>
        </w:drawing>
      </w:r>
    </w:p>
    <w:p w:rsidR="00F0281D" w:rsidRDefault="00F0281D" w:rsidP="00F0281D">
      <w:pPr>
        <w:pStyle w:val="figurecaption"/>
      </w:pPr>
      <w:r>
        <w:t xml:space="preserve">The multi-tiered, service-oriented architecture of the SALSA Portal services.  All </w:t>
      </w:r>
      <w:r w:rsidRPr="00C05607">
        <w:rPr>
          <w:i/>
        </w:rPr>
        <w:t>Manager</w:t>
      </w:r>
      <w:r>
        <w:t xml:space="preserve"> components are exposed as web services and provide a loosely-coupled set of HPC functionalities that can be used to compose many different types of client applications.</w:t>
      </w:r>
    </w:p>
    <w:p w:rsidR="005145BC" w:rsidRDefault="005145BC" w:rsidP="005145BC">
      <w:pPr>
        <w:pStyle w:val="figurecaption"/>
        <w:numPr>
          <w:ilvl w:val="0"/>
          <w:numId w:val="0"/>
        </w:numPr>
        <w:jc w:val="both"/>
      </w:pPr>
    </w:p>
    <w:p w:rsidR="00F0281D" w:rsidRDefault="00F0281D" w:rsidP="00F0281D">
      <w:pPr>
        <w:pStyle w:val="figurecaption"/>
        <w:sectPr w:rsidR="00F0281D" w:rsidSect="002D7C57">
          <w:type w:val="continuous"/>
          <w:pgSz w:w="12240" w:h="15840" w:code="1"/>
          <w:pgMar w:top="1440" w:right="1080" w:bottom="1440" w:left="1080" w:header="720" w:footer="720" w:gutter="0"/>
          <w:cols w:space="360"/>
          <w:docGrid w:linePitch="360"/>
        </w:sectPr>
      </w:pPr>
    </w:p>
    <w:p w:rsidR="00490F87" w:rsidRDefault="00490F87" w:rsidP="00F0281D">
      <w:pPr>
        <w:pStyle w:val="BodyText"/>
        <w:ind w:firstLine="0"/>
      </w:pPr>
      <w:r>
        <w:lastRenderedPageBreak/>
        <w:t>Importantly, because the developer community for this project potentially includes undergraduate students or others with limited programming experience, WCF development also presents a low barrier to entry since it is tightly integrated with the familiar .NET Framework and the Visual Studio Iterative Development Environment (IDE).  Consequently, all Portal web services have been developed using WCF.</w:t>
      </w:r>
    </w:p>
    <w:p w:rsidR="00F1658A" w:rsidRDefault="00F1658A">
      <w:pPr>
        <w:pStyle w:val="BodyText"/>
      </w:pPr>
    </w:p>
    <w:p w:rsidR="009303D9" w:rsidRDefault="009E74FA" w:rsidP="005B520E">
      <w:pPr>
        <w:pStyle w:val="Heading1"/>
      </w:pPr>
      <w:r>
        <w:t>Results</w:t>
      </w:r>
    </w:p>
    <w:p w:rsidR="009303D9" w:rsidRDefault="001D54B0">
      <w:pPr>
        <w:pStyle w:val="BodyText"/>
      </w:pPr>
      <w:r>
        <w:t>Extensive design work has been completed for both the biosequence classification workflow and the SOA Portal described here.  Implementation is ongoing, but early versions of these software systems have yielded potential benefits in managing computational jobs for the biological sciences, as discussed below.</w:t>
      </w:r>
      <w:r w:rsidR="009303D9" w:rsidRPr="005B520E">
        <w:t xml:space="preserve"> </w:t>
      </w:r>
    </w:p>
    <w:p w:rsidR="00F1658A" w:rsidRPr="00F1658A" w:rsidRDefault="00F1658A" w:rsidP="00F1658A">
      <w:pPr>
        <w:pStyle w:val="Heading3"/>
        <w:numPr>
          <w:ilvl w:val="2"/>
          <w:numId w:val="12"/>
        </w:numPr>
        <w:rPr>
          <w:i w:val="0"/>
        </w:rPr>
      </w:pPr>
      <w:r>
        <w:t xml:space="preserve">Biosequence Classification Workflow: </w:t>
      </w:r>
      <w:r w:rsidRPr="00F1658A">
        <w:rPr>
          <w:rFonts w:eastAsia="Times New Roman"/>
          <w:i w:val="0"/>
          <w:color w:val="000000"/>
        </w:rPr>
        <w:t xml:space="preserve">To this point, the application chaining described in section II has been implemented and deployed to various Windows HPC Server platforms.  This pipeline allows researchers to perform Smith-Waterman-Gotoh (SWG) sequence alignment, followed by multi-dimensional scaling (MDS) and/or pairwise clustering </w:t>
      </w:r>
      <w:r w:rsidR="00A466B4">
        <w:rPr>
          <w:rFonts w:eastAsia="Times New Roman"/>
          <w:i w:val="0"/>
          <w:color w:val="000000"/>
        </w:rPr>
        <w:t xml:space="preserve">(PWC) </w:t>
      </w:r>
      <w:r w:rsidRPr="00F1658A">
        <w:rPr>
          <w:rFonts w:eastAsia="Times New Roman"/>
          <w:i w:val="0"/>
          <w:color w:val="000000"/>
        </w:rPr>
        <w:t xml:space="preserve">for a given set of sequence reads, </w:t>
      </w:r>
      <w:r w:rsidRPr="00F1658A">
        <w:rPr>
          <w:rFonts w:eastAsia="Times New Roman"/>
          <w:i w:val="0"/>
          <w:color w:val="000000"/>
        </w:rPr>
        <w:lastRenderedPageBreak/>
        <w:t>all with only one set of input files and configurations.  Without this construct, users would need</w:t>
      </w:r>
      <w:r w:rsidR="00A466B4">
        <w:rPr>
          <w:rFonts w:eastAsia="Times New Roman"/>
          <w:i w:val="0"/>
          <w:color w:val="000000"/>
        </w:rPr>
        <w:t xml:space="preserve"> to</w:t>
      </w:r>
      <w:r w:rsidRPr="00F1658A">
        <w:rPr>
          <w:rFonts w:eastAsia="Times New Roman"/>
          <w:i w:val="0"/>
          <w:color w:val="000000"/>
        </w:rPr>
        <w:t xml:space="preserve"> move input data to an appropriate location, configure and run SWG, potentially transfer SWG output files to a desired location, and then configure and run MDS or PWC for dimensional reduction.  This pipeline reduces the necessary steps to the initial data transfer and the configuration of one job that controls the entire application stack.</w:t>
      </w:r>
    </w:p>
    <w:p w:rsidR="00F1658A" w:rsidRPr="00F1658A" w:rsidRDefault="004F053F" w:rsidP="00F1658A">
      <w:pPr>
        <w:pStyle w:val="Heading3"/>
        <w:numPr>
          <w:ilvl w:val="2"/>
          <w:numId w:val="12"/>
        </w:numPr>
        <w:rPr>
          <w:i w:val="0"/>
        </w:rPr>
      </w:pPr>
      <w:r>
        <w:t>SALSA Portal</w:t>
      </w:r>
      <w:r w:rsidR="00F1658A">
        <w:t xml:space="preserve">: </w:t>
      </w:r>
      <w:r>
        <w:rPr>
          <w:rFonts w:eastAsia="Times New Roman"/>
          <w:i w:val="0"/>
          <w:color w:val="000000"/>
        </w:rPr>
        <w:t>The initial implementation of the SALSA Portal, targeting local resources and the biosequence classification workflow described in this paper, has been completed.  This version of the Portal consists of a suite of web services that make available to end users many of the basic functions necessary to manage high-performance computing jobs. As an e</w:t>
      </w:r>
      <w:r w:rsidR="00F1658A" w:rsidRPr="00F1658A">
        <w:rPr>
          <w:rFonts w:eastAsia="Times New Roman"/>
          <w:i w:val="0"/>
          <w:color w:val="000000"/>
        </w:rPr>
        <w:t>xample of client software which consumes the</w:t>
      </w:r>
      <w:r>
        <w:rPr>
          <w:rFonts w:eastAsia="Times New Roman"/>
          <w:i w:val="0"/>
          <w:color w:val="000000"/>
        </w:rPr>
        <w:t>se</w:t>
      </w:r>
      <w:r w:rsidR="00F1658A" w:rsidRPr="00F1658A">
        <w:rPr>
          <w:rFonts w:eastAsia="Times New Roman"/>
          <w:i w:val="0"/>
          <w:color w:val="000000"/>
        </w:rPr>
        <w:t xml:space="preserve"> SALSA Portal web, a simple web site has been developed to present a basic job-control interface to the user.    As shown in Fig. </w:t>
      </w:r>
      <w:r w:rsidR="00F43310">
        <w:rPr>
          <w:rFonts w:eastAsia="Times New Roman"/>
          <w:i w:val="0"/>
          <w:color w:val="000000"/>
        </w:rPr>
        <w:t>5</w:t>
      </w:r>
      <w:r w:rsidR="00F1658A" w:rsidRPr="00F1658A">
        <w:rPr>
          <w:rFonts w:eastAsia="Times New Roman"/>
          <w:i w:val="0"/>
          <w:color w:val="000000"/>
        </w:rPr>
        <w:t>, this web client allows scientists  to find available HPC resources and analysis tools, upload input files, submit and track jobs, and retrieve the results of the computational jobs</w:t>
      </w:r>
      <w:r w:rsidR="00A466B4">
        <w:rPr>
          <w:rFonts w:eastAsia="Times New Roman"/>
          <w:i w:val="0"/>
          <w:color w:val="000000"/>
        </w:rPr>
        <w:t xml:space="preserve"> from one simple interface.</w:t>
      </w:r>
    </w:p>
    <w:p w:rsidR="00F43310" w:rsidRDefault="00F43310" w:rsidP="00F43310">
      <w:pPr>
        <w:pStyle w:val="figurecaption"/>
        <w:sectPr w:rsidR="00F43310" w:rsidSect="00E77B53">
          <w:type w:val="continuous"/>
          <w:pgSz w:w="12240" w:h="15840" w:code="1"/>
          <w:pgMar w:top="1440" w:right="1080" w:bottom="1440" w:left="1080" w:header="720" w:footer="720" w:gutter="0"/>
          <w:cols w:num="2" w:space="360"/>
          <w:docGrid w:linePitch="360"/>
        </w:sectPr>
      </w:pPr>
    </w:p>
    <w:p w:rsidR="00F43310" w:rsidRDefault="00F43310" w:rsidP="00F43310">
      <w:pPr>
        <w:pStyle w:val="figurecaption"/>
        <w:numPr>
          <w:ilvl w:val="0"/>
          <w:numId w:val="0"/>
        </w:numPr>
      </w:pPr>
      <w:r>
        <w:lastRenderedPageBreak/>
        <w:drawing>
          <wp:inline distT="0" distB="0" distL="0" distR="0">
            <wp:extent cx="5276850" cy="4043183"/>
            <wp:effectExtent l="19050" t="0" r="0"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5276850" cy="4043183"/>
                    </a:xfrm>
                    <a:prstGeom prst="rect">
                      <a:avLst/>
                    </a:prstGeom>
                    <a:noFill/>
                    <a:ln w="9525">
                      <a:noFill/>
                      <a:miter lim="800000"/>
                      <a:headEnd/>
                      <a:tailEnd/>
                    </a:ln>
                  </pic:spPr>
                </pic:pic>
              </a:graphicData>
            </a:graphic>
          </wp:inline>
        </w:drawing>
      </w:r>
    </w:p>
    <w:p w:rsidR="00F43310" w:rsidRDefault="00F43310" w:rsidP="00F43310">
      <w:pPr>
        <w:pStyle w:val="figurecaption"/>
      </w:pPr>
      <w:r>
        <w:t>A simple web client that utilizes SALSA Portal web services to provide HPC resource discovery, file transfer, and computational job control functionalities to end users.</w:t>
      </w:r>
    </w:p>
    <w:p w:rsidR="00A27B21" w:rsidRDefault="00A27B21" w:rsidP="00A27B21">
      <w:pPr>
        <w:pStyle w:val="figurecaption"/>
        <w:numPr>
          <w:ilvl w:val="0"/>
          <w:numId w:val="0"/>
        </w:numPr>
        <w:jc w:val="both"/>
      </w:pPr>
    </w:p>
    <w:p w:rsidR="000A01DE" w:rsidRDefault="000A01DE" w:rsidP="000A01DE">
      <w:pPr>
        <w:pStyle w:val="figurecaption"/>
        <w:numPr>
          <w:ilvl w:val="0"/>
          <w:numId w:val="0"/>
        </w:numPr>
        <w:jc w:val="both"/>
        <w:sectPr w:rsidR="000A01DE" w:rsidSect="002D7C57">
          <w:type w:val="continuous"/>
          <w:pgSz w:w="12240" w:h="15840" w:code="1"/>
          <w:pgMar w:top="1440" w:right="1080" w:bottom="1440" w:left="1080" w:header="720" w:footer="720" w:gutter="0"/>
          <w:cols w:space="360"/>
          <w:docGrid w:linePitch="360"/>
        </w:sectPr>
      </w:pPr>
    </w:p>
    <w:p w:rsidR="009E74FA" w:rsidRDefault="009E74FA" w:rsidP="009E74FA">
      <w:pPr>
        <w:pStyle w:val="Heading1"/>
      </w:pPr>
      <w:r>
        <w:lastRenderedPageBreak/>
        <w:t>Future Directions</w:t>
      </w:r>
    </w:p>
    <w:p w:rsidR="00B66DD0" w:rsidRPr="00B66DD0" w:rsidRDefault="00B66DD0" w:rsidP="00B66DD0">
      <w:pPr>
        <w:jc w:val="both"/>
        <w:rPr>
          <w:rFonts w:eastAsia="Times New Roman"/>
          <w:color w:val="000000"/>
        </w:rPr>
      </w:pPr>
      <w:r w:rsidRPr="00B66DD0">
        <w:rPr>
          <w:rFonts w:eastAsia="Times New Roman"/>
          <w:color w:val="000000"/>
        </w:rPr>
        <w:t>Although architecture</w:t>
      </w:r>
      <w:r w:rsidR="00847CAA">
        <w:rPr>
          <w:rFonts w:eastAsia="Times New Roman"/>
          <w:color w:val="000000"/>
        </w:rPr>
        <w:t>s</w:t>
      </w:r>
      <w:r w:rsidRPr="00B66DD0">
        <w:rPr>
          <w:rFonts w:eastAsia="Times New Roman"/>
          <w:color w:val="000000"/>
        </w:rPr>
        <w:t xml:space="preserve"> for </w:t>
      </w:r>
      <w:r w:rsidR="009268DB">
        <w:rPr>
          <w:rFonts w:eastAsia="Times New Roman"/>
          <w:color w:val="000000"/>
        </w:rPr>
        <w:t>the</w:t>
      </w:r>
      <w:r w:rsidR="00847CAA">
        <w:rPr>
          <w:rFonts w:eastAsia="Times New Roman"/>
          <w:color w:val="000000"/>
        </w:rPr>
        <w:t xml:space="preserve"> biosequence classification workflow and the</w:t>
      </w:r>
      <w:r w:rsidR="009268DB">
        <w:rPr>
          <w:rFonts w:eastAsia="Times New Roman"/>
          <w:color w:val="000000"/>
        </w:rPr>
        <w:t xml:space="preserve"> </w:t>
      </w:r>
      <w:r w:rsidRPr="00B66DD0">
        <w:rPr>
          <w:rFonts w:eastAsia="Times New Roman"/>
          <w:color w:val="000000"/>
        </w:rPr>
        <w:t xml:space="preserve">SALSA web service Portal </w:t>
      </w:r>
      <w:r w:rsidR="00847CAA">
        <w:rPr>
          <w:rFonts w:eastAsia="Times New Roman"/>
          <w:color w:val="000000"/>
        </w:rPr>
        <w:t>are</w:t>
      </w:r>
      <w:r w:rsidRPr="00B66DD0">
        <w:rPr>
          <w:rFonts w:eastAsia="Times New Roman"/>
          <w:color w:val="000000"/>
        </w:rPr>
        <w:t xml:space="preserve"> now well-established, there remain many areas of improvement and advancement to be </w:t>
      </w:r>
      <w:r w:rsidR="00847CAA">
        <w:rPr>
          <w:rFonts w:eastAsia="Times New Roman"/>
          <w:color w:val="000000"/>
        </w:rPr>
        <w:t>addressed</w:t>
      </w:r>
      <w:r w:rsidRPr="00B66DD0">
        <w:rPr>
          <w:rFonts w:eastAsia="Times New Roman"/>
          <w:color w:val="000000"/>
        </w:rPr>
        <w:t xml:space="preserve"> in the near- and long-range future.  </w:t>
      </w:r>
      <w:r w:rsidR="008B0857">
        <w:rPr>
          <w:rFonts w:eastAsia="Times New Roman"/>
          <w:color w:val="000000"/>
        </w:rPr>
        <w:t>Most of these efforts are focused on expanding  system scope, reliability, and security in order to enable ready access to additional HPC resources such as Cloud platforms.</w:t>
      </w:r>
      <w:r w:rsidR="00B12AE0">
        <w:rPr>
          <w:rFonts w:eastAsia="Times New Roman"/>
          <w:color w:val="000000"/>
        </w:rPr>
        <w:t xml:space="preserve">  These planned and ongoing activities are described here.</w:t>
      </w:r>
    </w:p>
    <w:p w:rsidR="00C172F2" w:rsidRDefault="00F61800" w:rsidP="00714EE3">
      <w:pPr>
        <w:pStyle w:val="Heading2"/>
      </w:pPr>
      <w:r>
        <w:t>Portal enhancements</w:t>
      </w:r>
    </w:p>
    <w:p w:rsidR="00714EE3" w:rsidRPr="005A74AF" w:rsidRDefault="006876A4" w:rsidP="00C172F2">
      <w:pPr>
        <w:pStyle w:val="Heading3"/>
      </w:pPr>
      <w:r>
        <w:t xml:space="preserve">Streaming </w:t>
      </w:r>
      <w:r w:rsidR="00714EE3">
        <w:t xml:space="preserve"> file transfer</w:t>
      </w:r>
    </w:p>
    <w:p w:rsidR="00C270F7" w:rsidRDefault="00C270F7" w:rsidP="00C270F7">
      <w:pPr>
        <w:jc w:val="both"/>
        <w:rPr>
          <w:rFonts w:eastAsia="Times New Roman"/>
          <w:color w:val="000000"/>
        </w:rPr>
      </w:pPr>
      <w:r w:rsidRPr="00C270F7">
        <w:rPr>
          <w:rFonts w:eastAsia="Times New Roman"/>
          <w:color w:val="000000"/>
        </w:rPr>
        <w:t xml:space="preserve">The current version of the SALSA Portal services supports access to local HPC resources by </w:t>
      </w:r>
      <w:r w:rsidR="009268DB">
        <w:rPr>
          <w:rFonts w:eastAsia="Times New Roman"/>
          <w:color w:val="000000"/>
        </w:rPr>
        <w:t>in-house researchers</w:t>
      </w:r>
      <w:r w:rsidRPr="00C270F7">
        <w:rPr>
          <w:rFonts w:eastAsia="Times New Roman"/>
          <w:color w:val="000000"/>
        </w:rPr>
        <w:t>, and, as such, utilizes a simple file transfer protocol for uploading input and downloading results.  In order to make effective use of distributed computing resources, a more robust and ubiquitous file transfer solution is required.   For this purpose, a streaming file transfer service based on WCF</w:t>
      </w:r>
      <w:r w:rsidR="00847CAA">
        <w:rPr>
          <w:rFonts w:eastAsia="Times New Roman"/>
          <w:color w:val="000000"/>
        </w:rPr>
        <w:t xml:space="preserve"> is being developed</w:t>
      </w:r>
      <w:r w:rsidRPr="00C270F7">
        <w:rPr>
          <w:rFonts w:eastAsia="Times New Roman"/>
          <w:color w:val="000000"/>
        </w:rPr>
        <w:t>, which will allow for the upload and download of large datasets while limiting timeout errors typical when encountering file buffer size limits.</w:t>
      </w:r>
    </w:p>
    <w:p w:rsidR="00F43310" w:rsidRDefault="00F43310" w:rsidP="00C270F7">
      <w:pPr>
        <w:jc w:val="both"/>
        <w:rPr>
          <w:rFonts w:eastAsia="Times New Roman"/>
          <w:color w:val="000000"/>
        </w:rPr>
      </w:pPr>
    </w:p>
    <w:p w:rsidR="00714EE3" w:rsidRPr="005A74AF" w:rsidRDefault="00714EE3" w:rsidP="00C172F2">
      <w:pPr>
        <w:pStyle w:val="Heading3"/>
      </w:pPr>
      <w:r>
        <w:t>Expanded job creation interfaces</w:t>
      </w:r>
    </w:p>
    <w:p w:rsidR="00C270F7" w:rsidRDefault="00C270F7" w:rsidP="00AD160D">
      <w:pPr>
        <w:jc w:val="both"/>
        <w:rPr>
          <w:rFonts w:eastAsia="Times New Roman"/>
          <w:color w:val="000000"/>
        </w:rPr>
      </w:pPr>
      <w:r w:rsidRPr="00C270F7">
        <w:rPr>
          <w:rFonts w:eastAsia="Times New Roman"/>
          <w:color w:val="000000"/>
        </w:rPr>
        <w:t>The initial version of the Portal job creation interface requires the user to pack his input files into a single ZIP file with a particular directory structure.  Moving forward, maximum benefit can be gained from these services only if users are afforded the opportunity to build their jobs through a more intuitive interface that exposes the job settings of specific algorithms, as users are accustomed to manipulating for their local jobs.  In addition, there is work to be done on supporting robust client layers for HPC resources other than the initial testbed which has been targeted here.</w:t>
      </w:r>
      <w:r w:rsidR="00DD5C33">
        <w:rPr>
          <w:rFonts w:eastAsia="Times New Roman"/>
          <w:color w:val="000000"/>
        </w:rPr>
        <w:t xml:space="preserve">  The first thrust of this work will be to make the current desktop interface of the sequence classification workflow discussed in section I accessible through Portal services.</w:t>
      </w:r>
    </w:p>
    <w:p w:rsidR="004D53FF" w:rsidRDefault="004D53FF" w:rsidP="00AD160D">
      <w:pPr>
        <w:jc w:val="both"/>
        <w:rPr>
          <w:rFonts w:eastAsia="Times New Roman"/>
          <w:color w:val="000000"/>
        </w:rPr>
      </w:pPr>
    </w:p>
    <w:p w:rsidR="004D53FF" w:rsidRPr="00C270F7" w:rsidRDefault="004D53FF" w:rsidP="00AD160D">
      <w:pPr>
        <w:jc w:val="both"/>
        <w:rPr>
          <w:rFonts w:eastAsia="Times New Roman"/>
          <w:color w:val="000000"/>
        </w:rPr>
      </w:pPr>
    </w:p>
    <w:p w:rsidR="00714EE3" w:rsidRPr="005A74AF" w:rsidRDefault="00714EE3" w:rsidP="00C172F2">
      <w:pPr>
        <w:pStyle w:val="Heading3"/>
      </w:pPr>
      <w:r>
        <w:t>Access to common bioinformatics tools</w:t>
      </w:r>
    </w:p>
    <w:p w:rsidR="00AD160D" w:rsidRDefault="00AD160D" w:rsidP="00AD160D">
      <w:pPr>
        <w:jc w:val="both"/>
        <w:rPr>
          <w:rFonts w:eastAsia="Times New Roman"/>
          <w:color w:val="000000"/>
        </w:rPr>
      </w:pPr>
      <w:r w:rsidRPr="00AD160D">
        <w:rPr>
          <w:rFonts w:eastAsia="Times New Roman"/>
          <w:color w:val="000000"/>
        </w:rPr>
        <w:t xml:space="preserve">As the Portal system becomes more robust, it will provide real value only by making resources available to actual researchers who need to use bioinformatics tools.  As described here, the Portal is designed as a set of loosely-coupled services that allow such client applications to be </w:t>
      </w:r>
      <w:r w:rsidRPr="00AD160D">
        <w:rPr>
          <w:rFonts w:eastAsia="Times New Roman"/>
          <w:color w:val="000000"/>
        </w:rPr>
        <w:lastRenderedPageBreak/>
        <w:t>quickly developed.  However, it will be helpful to future developers, as well as immediately impactful, to provide some fully-functional examples targeting specific high-use algorithms.  In particular, a simple web interface allowing quick access to the BLAST algorithm against a number o</w:t>
      </w:r>
      <w:r w:rsidR="00847CAA">
        <w:rPr>
          <w:rFonts w:eastAsia="Times New Roman"/>
          <w:color w:val="000000"/>
        </w:rPr>
        <w:t xml:space="preserve">f standard sequence databases, </w:t>
      </w:r>
      <w:r w:rsidRPr="00AD160D">
        <w:rPr>
          <w:rFonts w:eastAsia="Times New Roman"/>
          <w:color w:val="000000"/>
        </w:rPr>
        <w:t>r</w:t>
      </w:r>
      <w:r>
        <w:rPr>
          <w:rFonts w:eastAsia="Times New Roman"/>
          <w:color w:val="000000"/>
        </w:rPr>
        <w:t>unning on a variety of HPC plat</w:t>
      </w:r>
      <w:r w:rsidRPr="00AD160D">
        <w:rPr>
          <w:rFonts w:eastAsia="Times New Roman"/>
          <w:color w:val="000000"/>
        </w:rPr>
        <w:t>forms, is planned for development in the near-term.</w:t>
      </w:r>
    </w:p>
    <w:p w:rsidR="004D53FF" w:rsidRPr="00AD160D" w:rsidRDefault="004D53FF" w:rsidP="00AD160D">
      <w:pPr>
        <w:jc w:val="both"/>
        <w:rPr>
          <w:rFonts w:eastAsia="Times New Roman"/>
          <w:color w:val="000000"/>
        </w:rPr>
      </w:pPr>
    </w:p>
    <w:p w:rsidR="00714EE3" w:rsidRPr="005A74AF" w:rsidRDefault="00714EE3" w:rsidP="00C172F2">
      <w:pPr>
        <w:pStyle w:val="Heading3"/>
      </w:pPr>
      <w:r>
        <w:t>Security</w:t>
      </w:r>
    </w:p>
    <w:p w:rsidR="00AD160D" w:rsidRDefault="00AD160D" w:rsidP="00AD160D">
      <w:pPr>
        <w:jc w:val="both"/>
        <w:rPr>
          <w:rFonts w:eastAsia="Times New Roman"/>
          <w:color w:val="000000"/>
        </w:rPr>
      </w:pPr>
      <w:r w:rsidRPr="00AD160D">
        <w:rPr>
          <w:rFonts w:eastAsia="Times New Roman"/>
          <w:color w:val="000000"/>
        </w:rPr>
        <w:t>Ensuring the security of system resources and scientif</w:t>
      </w:r>
      <w:r>
        <w:rPr>
          <w:rFonts w:eastAsia="Times New Roman"/>
          <w:color w:val="000000"/>
        </w:rPr>
        <w:t>i</w:t>
      </w:r>
      <w:r w:rsidRPr="00AD160D">
        <w:rPr>
          <w:rFonts w:eastAsia="Times New Roman"/>
          <w:color w:val="000000"/>
        </w:rPr>
        <w:t>c data is paramount to the integrity of a distributed software system.  During the initial stages of SALSA Portal development, access has been handled via Windows Authentication through Indiana University’s Active Directory system.  As the system is expanded to target non-local platforms and to provide access for external users, a more expansive security model needs to be implemented.  Various security mechanisms, including WCF options, are being explored.</w:t>
      </w:r>
    </w:p>
    <w:p w:rsidR="00C76703" w:rsidRDefault="00C56719" w:rsidP="00C76703">
      <w:pPr>
        <w:pStyle w:val="Heading2"/>
      </w:pPr>
      <w:r>
        <w:t>Map-</w:t>
      </w:r>
      <w:r w:rsidR="00B939A7">
        <w:t>r</w:t>
      </w:r>
      <w:r>
        <w:t>educe</w:t>
      </w:r>
      <w:r w:rsidR="00B939A7">
        <w:t xml:space="preserve"> pre-p</w:t>
      </w:r>
      <w:r>
        <w:t>rocessing</w:t>
      </w:r>
    </w:p>
    <w:p w:rsidR="00E4138B" w:rsidRDefault="00B50FB4" w:rsidP="00B50FB4">
      <w:pPr>
        <w:jc w:val="both"/>
      </w:pPr>
      <w:r>
        <w:t>In the current version of the seque</w:t>
      </w:r>
      <w:r w:rsidR="004A1374">
        <w:t>nce analysis pipeline presented here, the</w:t>
      </w:r>
      <w:r>
        <w:t xml:space="preserve"> Message Passing Interface (MPI) implementation of the Smith-Waterman-Gotoh </w:t>
      </w:r>
      <w:r w:rsidR="00E4138B">
        <w:t>(SW</w:t>
      </w:r>
      <w:r w:rsidR="004A1374">
        <w:t>-</w:t>
      </w:r>
      <w:r w:rsidR="00E4138B">
        <w:t xml:space="preserve">G) </w:t>
      </w:r>
      <w:r>
        <w:t xml:space="preserve">algorithm </w:t>
      </w:r>
      <w:r w:rsidR="00E4138B">
        <w:t>[</w:t>
      </w:r>
      <w:r w:rsidR="00BD35F2">
        <w:t>6,7</w:t>
      </w:r>
      <w:r w:rsidR="00E4138B">
        <w:t xml:space="preserve">] </w:t>
      </w:r>
      <w:r>
        <w:t xml:space="preserve">is used to perform the sequence alignment step.  </w:t>
      </w:r>
      <w:r w:rsidR="004A1374">
        <w:t>While this version of SW-G is well-suited to share-memory machines and traditional clusters, it is not appropriate for use on distributed grid and Cloud platforms. T</w:t>
      </w:r>
      <w:r w:rsidR="00E4138B">
        <w:t>o overcome this limitation</w:t>
      </w:r>
      <w:r w:rsidR="004A1374">
        <w:t>, the pipeline will be generalized to allow on-the-fly selection of the Hadoop, Twister, and DryadLINQ implementations of SW-G</w:t>
      </w:r>
      <w:r w:rsidR="008B5AFC">
        <w:t>, exposing the powerful combination of map-reduce and Cloud technologies</w:t>
      </w:r>
      <w:r w:rsidR="004A1374">
        <w:t xml:space="preserve"> </w:t>
      </w:r>
      <w:r w:rsidR="008B5AFC">
        <w:t>for usage by biology researchers.</w:t>
      </w:r>
      <w:r w:rsidR="004A1374">
        <w:t xml:space="preserve"> </w:t>
      </w:r>
    </w:p>
    <w:p w:rsidR="00C76703" w:rsidRDefault="008B0FEB" w:rsidP="00C76703">
      <w:pPr>
        <w:pStyle w:val="Heading2"/>
      </w:pPr>
      <w:r>
        <w:t>Service-</w:t>
      </w:r>
      <w:r w:rsidR="00B939A7">
        <w:t>b</w:t>
      </w:r>
      <w:r>
        <w:t>ased</w:t>
      </w:r>
      <w:r w:rsidR="00B939A7">
        <w:t xml:space="preserve"> generic m</w:t>
      </w:r>
      <w:r>
        <w:t>ap</w:t>
      </w:r>
      <w:r w:rsidR="00B939A7">
        <w:t>-o</w:t>
      </w:r>
      <w:r>
        <w:t>nly Tasks</w:t>
      </w:r>
    </w:p>
    <w:p w:rsidR="00682396" w:rsidRDefault="008B0FEB" w:rsidP="005446D5">
      <w:pPr>
        <w:jc w:val="both"/>
        <w:rPr>
          <w:rFonts w:eastAsia="Times New Roman"/>
          <w:color w:val="000000"/>
        </w:rPr>
      </w:pPr>
      <w:r w:rsidRPr="005446D5">
        <w:rPr>
          <w:rFonts w:eastAsia="Times New Roman"/>
          <w:color w:val="000000"/>
        </w:rPr>
        <w:t xml:space="preserve">Many biosequence analysis pipelines rely on inherently data-parallel </w:t>
      </w:r>
      <w:r w:rsidR="005446D5" w:rsidRPr="005446D5">
        <w:rPr>
          <w:rFonts w:eastAsia="Times New Roman"/>
          <w:color w:val="000000"/>
        </w:rPr>
        <w:t>algorithms</w:t>
      </w:r>
      <w:r w:rsidRPr="005446D5">
        <w:rPr>
          <w:rFonts w:eastAsia="Times New Roman"/>
          <w:color w:val="000000"/>
        </w:rPr>
        <w:t xml:space="preserve"> such as BLAST to </w:t>
      </w:r>
      <w:r w:rsidR="005446D5">
        <w:rPr>
          <w:rFonts w:eastAsia="Times New Roman"/>
          <w:color w:val="000000"/>
        </w:rPr>
        <w:t>enable</w:t>
      </w:r>
      <w:r w:rsidRPr="005446D5">
        <w:rPr>
          <w:rFonts w:eastAsia="Times New Roman"/>
          <w:color w:val="000000"/>
        </w:rPr>
        <w:t xml:space="preserve"> genome  anno</w:t>
      </w:r>
      <w:r w:rsidR="005446D5">
        <w:rPr>
          <w:rFonts w:eastAsia="Times New Roman"/>
          <w:color w:val="000000"/>
        </w:rPr>
        <w:t>tation</w:t>
      </w:r>
      <w:r w:rsidRPr="005446D5">
        <w:rPr>
          <w:rFonts w:eastAsia="Times New Roman"/>
          <w:color w:val="000000"/>
        </w:rPr>
        <w:t>.</w:t>
      </w:r>
      <w:r w:rsidR="005446D5" w:rsidRPr="005446D5">
        <w:rPr>
          <w:rFonts w:eastAsia="Times New Roman"/>
          <w:color w:val="000000"/>
        </w:rPr>
        <w:t xml:space="preserve">  </w:t>
      </w:r>
      <w:r w:rsidR="005446D5">
        <w:rPr>
          <w:rFonts w:eastAsia="Times New Roman"/>
          <w:color w:val="000000"/>
        </w:rPr>
        <w:t>Researchers can u</w:t>
      </w:r>
      <w:r w:rsidR="005446D5" w:rsidRPr="005446D5">
        <w:rPr>
          <w:rFonts w:eastAsia="Times New Roman"/>
          <w:color w:val="000000"/>
        </w:rPr>
        <w:t xml:space="preserve">se </w:t>
      </w:r>
      <w:r w:rsidR="005446D5">
        <w:rPr>
          <w:rFonts w:eastAsia="Times New Roman"/>
          <w:color w:val="000000"/>
        </w:rPr>
        <w:t xml:space="preserve">these </w:t>
      </w:r>
      <w:r w:rsidR="005446D5" w:rsidRPr="005446D5">
        <w:rPr>
          <w:rFonts w:eastAsia="Times New Roman"/>
          <w:color w:val="000000"/>
        </w:rPr>
        <w:t xml:space="preserve">tools </w:t>
      </w:r>
      <w:r w:rsidR="00682396">
        <w:rPr>
          <w:rFonts w:eastAsia="Times New Roman"/>
          <w:color w:val="000000"/>
        </w:rPr>
        <w:t>to</w:t>
      </w:r>
      <w:r w:rsidR="005446D5" w:rsidRPr="005446D5">
        <w:rPr>
          <w:rFonts w:eastAsia="Times New Roman"/>
          <w:color w:val="000000"/>
        </w:rPr>
        <w:t xml:space="preserve"> take full advantage of HPC resources by </w:t>
      </w:r>
      <w:r w:rsidR="005446D5">
        <w:rPr>
          <w:rFonts w:eastAsia="Times New Roman"/>
          <w:color w:val="000000"/>
        </w:rPr>
        <w:t>distributing input datasets  to available nodes and then running the same software on</w:t>
      </w:r>
      <w:r w:rsidR="00682396">
        <w:rPr>
          <w:rFonts w:eastAsia="Times New Roman"/>
          <w:color w:val="000000"/>
        </w:rPr>
        <w:t xml:space="preserve"> each node, simply concatenating results on job completion.  In fact, this </w:t>
      </w:r>
      <w:r w:rsidR="005446D5">
        <w:rPr>
          <w:rFonts w:eastAsia="Times New Roman"/>
          <w:color w:val="000000"/>
        </w:rPr>
        <w:t xml:space="preserve">common </w:t>
      </w:r>
      <w:r w:rsidR="00682396">
        <w:rPr>
          <w:rFonts w:eastAsia="Times New Roman"/>
          <w:color w:val="000000"/>
        </w:rPr>
        <w:t xml:space="preserve">map-only </w:t>
      </w:r>
      <w:r w:rsidR="005446D5">
        <w:rPr>
          <w:rFonts w:eastAsia="Times New Roman"/>
          <w:color w:val="000000"/>
        </w:rPr>
        <w:t xml:space="preserve">pattern </w:t>
      </w:r>
      <w:r w:rsidR="00682396">
        <w:rPr>
          <w:rFonts w:eastAsia="Times New Roman"/>
          <w:color w:val="000000"/>
        </w:rPr>
        <w:t xml:space="preserve">is used </w:t>
      </w:r>
      <w:r w:rsidR="005446D5">
        <w:rPr>
          <w:rFonts w:eastAsia="Times New Roman"/>
          <w:color w:val="000000"/>
        </w:rPr>
        <w:t>in many existing workflows, but the effort involved in splitting input files and managing the related jobs typically requires tedious manual effort or a compl</w:t>
      </w:r>
      <w:r w:rsidR="00682396">
        <w:rPr>
          <w:rFonts w:eastAsia="Times New Roman"/>
          <w:color w:val="000000"/>
        </w:rPr>
        <w:t xml:space="preserve">icated scripting environment.  </w:t>
      </w:r>
    </w:p>
    <w:p w:rsidR="00682396" w:rsidRDefault="00682396" w:rsidP="005446D5">
      <w:pPr>
        <w:jc w:val="both"/>
        <w:rPr>
          <w:rFonts w:eastAsia="Times New Roman"/>
          <w:color w:val="000000"/>
        </w:rPr>
      </w:pPr>
    </w:p>
    <w:p w:rsidR="008B0FEB" w:rsidRPr="005446D5" w:rsidRDefault="00682396" w:rsidP="005446D5">
      <w:pPr>
        <w:jc w:val="both"/>
        <w:rPr>
          <w:rFonts w:eastAsia="Times New Roman"/>
          <w:color w:val="000000"/>
        </w:rPr>
      </w:pPr>
      <w:r>
        <w:rPr>
          <w:rFonts w:eastAsia="Times New Roman"/>
          <w:color w:val="000000"/>
        </w:rPr>
        <w:t xml:space="preserve">The Twister iterative map-reduce runtime </w:t>
      </w:r>
      <w:r w:rsidR="00BD35F2">
        <w:rPr>
          <w:rFonts w:eastAsia="Times New Roman"/>
          <w:color w:val="000000"/>
        </w:rPr>
        <w:t>[</w:t>
      </w:r>
      <w:r w:rsidR="0014475C">
        <w:rPr>
          <w:rFonts w:eastAsia="Times New Roman"/>
          <w:color w:val="000000"/>
        </w:rPr>
        <w:t>15</w:t>
      </w:r>
      <w:r>
        <w:rPr>
          <w:rFonts w:eastAsia="Times New Roman"/>
          <w:color w:val="000000"/>
        </w:rPr>
        <w:t>] can be used for this type of problem to abstract the mapping of input to available computer resources</w:t>
      </w:r>
      <w:r w:rsidR="00107796">
        <w:rPr>
          <w:rFonts w:eastAsia="Times New Roman"/>
          <w:color w:val="000000"/>
        </w:rPr>
        <w:t>.  In certain cases, users may desire a specialized Twister implementation to address a particular problem that requires very specific analysis during the reduce step.  However, in many cases, researchers simply need to run their data-parallel tools as efficiently as possible and then collect all of the results when the job has completed.  T</w:t>
      </w:r>
      <w:r>
        <w:rPr>
          <w:rFonts w:eastAsia="Times New Roman"/>
          <w:color w:val="000000"/>
        </w:rPr>
        <w:t xml:space="preserve">he SALSA Portal will </w:t>
      </w:r>
      <w:r w:rsidR="00107796">
        <w:rPr>
          <w:rFonts w:eastAsia="Times New Roman"/>
          <w:color w:val="000000"/>
        </w:rPr>
        <w:lastRenderedPageBreak/>
        <w:t>address this need by exposing</w:t>
      </w:r>
      <w:r>
        <w:rPr>
          <w:rFonts w:eastAsia="Times New Roman"/>
          <w:color w:val="000000"/>
        </w:rPr>
        <w:t xml:space="preserve"> a generic version of </w:t>
      </w:r>
      <w:r w:rsidR="00107796">
        <w:rPr>
          <w:rFonts w:eastAsia="Times New Roman"/>
          <w:color w:val="000000"/>
        </w:rPr>
        <w:t>the Twister</w:t>
      </w:r>
      <w:r>
        <w:rPr>
          <w:rFonts w:eastAsia="Times New Roman"/>
          <w:color w:val="000000"/>
        </w:rPr>
        <w:t xml:space="preserve"> technology through a simple web service.  This will allow researchers to </w:t>
      </w:r>
      <w:r w:rsidR="00C56719">
        <w:rPr>
          <w:rFonts w:eastAsia="Times New Roman"/>
          <w:color w:val="000000"/>
        </w:rPr>
        <w:t xml:space="preserve">run </w:t>
      </w:r>
      <w:r>
        <w:rPr>
          <w:rFonts w:eastAsia="Times New Roman"/>
          <w:color w:val="000000"/>
        </w:rPr>
        <w:t xml:space="preserve">map-only   </w:t>
      </w:r>
      <w:r w:rsidR="00C56719">
        <w:rPr>
          <w:rFonts w:eastAsia="Times New Roman"/>
          <w:color w:val="000000"/>
        </w:rPr>
        <w:t>jobs from any context in their workflow and take advantage of all available resources, whether clusters</w:t>
      </w:r>
      <w:r w:rsidR="0022468A">
        <w:rPr>
          <w:rFonts w:eastAsia="Times New Roman"/>
          <w:color w:val="000000"/>
        </w:rPr>
        <w:t xml:space="preserve">, grids, </w:t>
      </w:r>
      <w:r w:rsidR="00C56719">
        <w:rPr>
          <w:rFonts w:eastAsia="Times New Roman"/>
          <w:color w:val="000000"/>
        </w:rPr>
        <w:t xml:space="preserve"> or Cloud platforms.</w:t>
      </w:r>
    </w:p>
    <w:p w:rsidR="008B0FEB" w:rsidRPr="008B0FEB" w:rsidRDefault="008B0FEB" w:rsidP="008B0FEB"/>
    <w:p w:rsidR="00F554E8" w:rsidRPr="00AD160D" w:rsidRDefault="00F554E8" w:rsidP="00AD160D">
      <w:pPr>
        <w:jc w:val="both"/>
        <w:rPr>
          <w:rFonts w:eastAsia="Times New Roman"/>
          <w:color w:val="000000"/>
        </w:rPr>
      </w:pPr>
    </w:p>
    <w:p w:rsidR="009E74FA" w:rsidRDefault="009E74FA" w:rsidP="009E74FA">
      <w:pPr>
        <w:pStyle w:val="Heading1"/>
      </w:pPr>
      <w:r>
        <w:t>Conclusion</w:t>
      </w:r>
    </w:p>
    <w:p w:rsidR="008E1D5F" w:rsidRPr="008E1D5F" w:rsidRDefault="008E1D5F" w:rsidP="00B66DD0">
      <w:pPr>
        <w:jc w:val="both"/>
        <w:rPr>
          <w:rFonts w:eastAsia="Times New Roman"/>
          <w:color w:val="000000"/>
        </w:rPr>
      </w:pPr>
      <w:r w:rsidRPr="008E1D5F">
        <w:rPr>
          <w:rFonts w:eastAsia="Times New Roman"/>
          <w:color w:val="000000"/>
        </w:rPr>
        <w:t>The deluge of data produced by modern experimental techniques in the physical sciences is making it increasingly obvious that analysis and visualization no longer belongs solely in the realm of local laboratory computing resources.  Instead, such problems must be approached utilizing state-of-the-art software tools running on distributed high-performance computing resources, both traditional clusters and various Cloud platforms.  The substantial usage barrier for making full utilization of these resources often leaves researchers frustrated and with a mounting cache of raw data.</w:t>
      </w:r>
      <w:r w:rsidRPr="008E1D5F">
        <w:rPr>
          <w:rFonts w:eastAsia="Times New Roman"/>
          <w:color w:val="000000"/>
        </w:rPr>
        <w:br/>
      </w:r>
      <w:r w:rsidRPr="008E1D5F">
        <w:rPr>
          <w:rFonts w:eastAsia="Times New Roman"/>
          <w:color w:val="000000"/>
        </w:rPr>
        <w:br/>
        <w:t>The combination of algorithm “chaining” to form analysis pipelines and web services to allow easier access to computational tools holds much promise for easing the current tedious data manipulation burden facing many researchers</w:t>
      </w:r>
      <w:r w:rsidR="002A5C34">
        <w:rPr>
          <w:rFonts w:eastAsia="Times New Roman"/>
          <w:color w:val="000000"/>
        </w:rPr>
        <w:t xml:space="preserve"> in</w:t>
      </w:r>
      <w:r w:rsidRPr="008E1D5F">
        <w:rPr>
          <w:rFonts w:eastAsia="Times New Roman"/>
          <w:color w:val="000000"/>
        </w:rPr>
        <w:t xml:space="preserve"> the biology and health science fields</w:t>
      </w:r>
      <w:r>
        <w:rPr>
          <w:rFonts w:eastAsia="Times New Roman"/>
          <w:color w:val="000000"/>
        </w:rPr>
        <w:t xml:space="preserve">.  </w:t>
      </w:r>
      <w:r w:rsidRPr="008E1D5F">
        <w:rPr>
          <w:rFonts w:eastAsia="Times New Roman"/>
          <w:color w:val="000000"/>
        </w:rPr>
        <w:t>The extensible architecture of the SALSA Portal</w:t>
      </w:r>
      <w:r>
        <w:rPr>
          <w:rFonts w:eastAsia="Times New Roman"/>
          <w:color w:val="000000"/>
        </w:rPr>
        <w:t xml:space="preserve"> described here</w:t>
      </w:r>
      <w:r w:rsidRPr="008E1D5F">
        <w:rPr>
          <w:rFonts w:eastAsia="Times New Roman"/>
          <w:color w:val="000000"/>
        </w:rPr>
        <w:t xml:space="preserve"> will allow for relatively simple expansion to support new software tools and computing platforms as they are developed in the coming years.  This flexibility is vital to keeping pace with the proliferation of biological and health data and allowing researchers to focus their efforts on the scientific problems at hand rather than on the manual effort required to manage data movement and computational job submissions.</w:t>
      </w:r>
    </w:p>
    <w:p w:rsidR="008E1D5F" w:rsidRPr="008E1D5F" w:rsidRDefault="008E1D5F" w:rsidP="008E1D5F"/>
    <w:p w:rsidR="009303D9" w:rsidRPr="005A74AF" w:rsidRDefault="009303D9" w:rsidP="005B520E">
      <w:pPr>
        <w:pStyle w:val="Heading5"/>
      </w:pPr>
      <w:r w:rsidRPr="005A74AF">
        <w:t>Acknowledgment</w:t>
      </w:r>
    </w:p>
    <w:p w:rsidR="009303D9" w:rsidRDefault="00E362E6">
      <w:pPr>
        <w:pStyle w:val="BodyText"/>
        <w:rPr>
          <w:dstrike/>
        </w:rPr>
      </w:pPr>
      <w:r>
        <w:t xml:space="preserve">This work is supported by the National Institutes </w:t>
      </w:r>
      <w:r w:rsidR="00FF63F7">
        <w:t>of</w:t>
      </w:r>
      <w:r>
        <w:t xml:space="preserve"> Health under grant</w:t>
      </w:r>
      <w:r w:rsidR="00596CCF">
        <w:t xml:space="preserve"> </w:t>
      </w:r>
      <w:r w:rsidR="00596CCF" w:rsidRPr="00596CCF">
        <w:t>5 RC2 HG005806-02</w:t>
      </w:r>
      <w:r w:rsidR="00E83787" w:rsidRPr="005A74AF">
        <w:t>.</w:t>
      </w:r>
    </w:p>
    <w:p w:rsidR="009B068B" w:rsidRDefault="009B068B">
      <w:pPr>
        <w:pStyle w:val="BodyText"/>
        <w:rPr>
          <w:dstrike/>
        </w:rPr>
      </w:pPr>
    </w:p>
    <w:p w:rsidR="009303D9" w:rsidRDefault="009303D9" w:rsidP="005B520E">
      <w:pPr>
        <w:pStyle w:val="Heading5"/>
      </w:pPr>
      <w:r w:rsidRPr="005B520E">
        <w:t>References</w:t>
      </w:r>
    </w:p>
    <w:p w:rsidR="009303D9" w:rsidRPr="005B520E" w:rsidRDefault="009303D9"/>
    <w:p w:rsidR="009017D6" w:rsidRPr="008F1072" w:rsidRDefault="009017D6" w:rsidP="009017D6">
      <w:pPr>
        <w:pStyle w:val="references"/>
      </w:pPr>
      <w:r w:rsidRPr="008F1072">
        <w:t xml:space="preserve">M. Marguilies et al., “Genome sequencing in microfabricated </w:t>
      </w:r>
      <w:r w:rsidR="00CC0CB4" w:rsidRPr="008F1072">
        <w:t>high-density picolitre reactors</w:t>
      </w:r>
      <w:r w:rsidR="00145A8E">
        <w:t>,</w:t>
      </w:r>
      <w:r w:rsidRPr="008F1072">
        <w:t>”</w:t>
      </w:r>
      <w:r w:rsidR="00145A8E">
        <w:t xml:space="preserve"> </w:t>
      </w:r>
      <w:r w:rsidRPr="00472C6A">
        <w:rPr>
          <w:i/>
        </w:rPr>
        <w:t>Nature</w:t>
      </w:r>
      <w:r w:rsidR="00472C6A">
        <w:t xml:space="preserve">, vol. 441, no. </w:t>
      </w:r>
      <w:r w:rsidRPr="008F1072">
        <w:t xml:space="preserve">7089, </w:t>
      </w:r>
      <w:r w:rsidR="00472C6A">
        <w:t xml:space="preserve">. </w:t>
      </w:r>
      <w:r w:rsidR="00472C6A" w:rsidRPr="008F1072">
        <w:t>pp. 376-380</w:t>
      </w:r>
      <w:r w:rsidR="00472C6A">
        <w:t>, Sep. 2005</w:t>
      </w:r>
      <w:r w:rsidRPr="008F1072">
        <w:t>.</w:t>
      </w:r>
    </w:p>
    <w:p w:rsidR="009303D9" w:rsidRPr="008F1072" w:rsidRDefault="009017D6">
      <w:pPr>
        <w:pStyle w:val="references"/>
      </w:pPr>
      <w:r w:rsidRPr="008F1072">
        <w:t>B. Richter and D. Sexton, “Managing and Analyzing Next-Generation Sequence Data</w:t>
      </w:r>
      <w:r w:rsidR="00145A8E">
        <w:t>,”</w:t>
      </w:r>
      <w:r w:rsidR="009303D9" w:rsidRPr="008F1072">
        <w:t xml:space="preserve"> </w:t>
      </w:r>
      <w:r w:rsidR="00074D23" w:rsidRPr="00074D23">
        <w:rPr>
          <w:i/>
        </w:rPr>
        <w:t>PLoS</w:t>
      </w:r>
      <w:r w:rsidR="00074D23">
        <w:t xml:space="preserve"> </w:t>
      </w:r>
      <w:r w:rsidRPr="005A641A">
        <w:rPr>
          <w:i/>
        </w:rPr>
        <w:t>Computational Biology</w:t>
      </w:r>
      <w:r w:rsidR="005A641A">
        <w:t xml:space="preserve">, vol. 5 no. </w:t>
      </w:r>
      <w:r w:rsidRPr="008F1072">
        <w:t>6</w:t>
      </w:r>
      <w:r w:rsidR="00074D23">
        <w:t>, Jun. 2009</w:t>
      </w:r>
      <w:r w:rsidR="009303D9" w:rsidRPr="008F1072">
        <w:t>.</w:t>
      </w:r>
    </w:p>
    <w:p w:rsidR="001C6591" w:rsidRPr="008F1072" w:rsidRDefault="00E048E4" w:rsidP="008F1072">
      <w:pPr>
        <w:pStyle w:val="references"/>
      </w:pPr>
      <w:r>
        <w:t xml:space="preserve">M. Pierce, C. Youn, and G. Fox, “The gateway computational web portal,” </w:t>
      </w:r>
      <w:r w:rsidRPr="00364257">
        <w:rPr>
          <w:i/>
        </w:rPr>
        <w:t>Journal of Concurrency and Computation: Practice and Experience</w:t>
      </w:r>
      <w:r>
        <w:t xml:space="preserve">, vol. 14, </w:t>
      </w:r>
      <w:r w:rsidR="006E2230">
        <w:t xml:space="preserve">no. 13-15, </w:t>
      </w:r>
      <w:r w:rsidR="00364257">
        <w:t xml:space="preserve">pp. 1411-1426, </w:t>
      </w:r>
      <w:r w:rsidR="006E2230">
        <w:t xml:space="preserve"> Nov.-Dec. </w:t>
      </w:r>
      <w:r w:rsidR="00364257">
        <w:t>2002</w:t>
      </w:r>
      <w:r>
        <w:t>.</w:t>
      </w:r>
    </w:p>
    <w:p w:rsidR="008F7AF3" w:rsidRPr="008F1072" w:rsidRDefault="008F7AF3" w:rsidP="008F7AF3">
      <w:pPr>
        <w:pStyle w:val="references"/>
      </w:pPr>
      <w:r w:rsidRPr="008F1072">
        <w:t>J. Orvis, et al., “A web interface and scalable software system for bioinformatics workflows</w:t>
      </w:r>
      <w:r>
        <w:t>,</w:t>
      </w:r>
      <w:r w:rsidR="00AE20FD">
        <w:t xml:space="preserve">” </w:t>
      </w:r>
      <w:r w:rsidR="00AE20FD" w:rsidRPr="00AE20FD">
        <w:rPr>
          <w:i/>
        </w:rPr>
        <w:t>Bioinformatics</w:t>
      </w:r>
      <w:r w:rsidR="00AE20FD">
        <w:t xml:space="preserve">, vol. 26, no. </w:t>
      </w:r>
      <w:r w:rsidRPr="008F1072">
        <w:t xml:space="preserve">12, </w:t>
      </w:r>
      <w:r w:rsidR="00C20780">
        <w:t xml:space="preserve">pp, 1488-1492, </w:t>
      </w:r>
      <w:r w:rsidR="00AE20FD">
        <w:t xml:space="preserve">Jun. </w:t>
      </w:r>
      <w:r w:rsidRPr="008F1072">
        <w:t>2010.</w:t>
      </w:r>
    </w:p>
    <w:p w:rsidR="008E78C1" w:rsidRDefault="008E78C1" w:rsidP="008F1072">
      <w:pPr>
        <w:pStyle w:val="references"/>
      </w:pPr>
      <w:r>
        <w:t>O. Kaiser, et al.,  “Whole genome shotgun sequencing guided by bioinformatics pipelines – an optimized approach f</w:t>
      </w:r>
      <w:r w:rsidR="001F649F">
        <w:t xml:space="preserve">or an established </w:t>
      </w:r>
      <w:r w:rsidR="001F649F">
        <w:lastRenderedPageBreak/>
        <w:t xml:space="preserve">technique,” </w:t>
      </w:r>
      <w:r w:rsidR="001F649F" w:rsidRPr="001F649F">
        <w:rPr>
          <w:i/>
        </w:rPr>
        <w:t>Journal of</w:t>
      </w:r>
      <w:r w:rsidRPr="001F649F">
        <w:rPr>
          <w:i/>
        </w:rPr>
        <w:t xml:space="preserve"> Biotechnology</w:t>
      </w:r>
      <w:r>
        <w:t>, vol. 106,</w:t>
      </w:r>
      <w:r w:rsidR="001F649F">
        <w:t xml:space="preserve"> no. 2-3,</w:t>
      </w:r>
      <w:r>
        <w:t xml:space="preserve"> pp. 121-133</w:t>
      </w:r>
      <w:r w:rsidR="001F649F">
        <w:t>, Dec. 2003</w:t>
      </w:r>
      <w:r>
        <w:t>.</w:t>
      </w:r>
    </w:p>
    <w:p w:rsidR="00385556" w:rsidRDefault="00385556" w:rsidP="008F1072">
      <w:pPr>
        <w:pStyle w:val="references"/>
      </w:pPr>
      <w:r>
        <w:t xml:space="preserve">T. Smith and M. Waterman, “Identification of common molecular substances,” </w:t>
      </w:r>
      <w:r w:rsidRPr="00383E69">
        <w:rPr>
          <w:i/>
        </w:rPr>
        <w:t>Journal of Molecular Biology</w:t>
      </w:r>
      <w:r w:rsidR="00383E69">
        <w:t>, vol. 147</w:t>
      </w:r>
      <w:r>
        <w:t>,  pp. 195-197</w:t>
      </w:r>
      <w:r w:rsidR="00383E69">
        <w:t>, 1981</w:t>
      </w:r>
      <w:r>
        <w:t>.</w:t>
      </w:r>
    </w:p>
    <w:p w:rsidR="00385556" w:rsidRPr="008E78C1" w:rsidRDefault="00385556" w:rsidP="008F1072">
      <w:pPr>
        <w:pStyle w:val="references"/>
      </w:pPr>
      <w:r>
        <w:t xml:space="preserve">O. Gotoh, “An improved algorithm for matching biological sequences,” </w:t>
      </w:r>
      <w:r w:rsidRPr="005E6B9A">
        <w:rPr>
          <w:i/>
        </w:rPr>
        <w:t>Journal of Molecular Biology</w:t>
      </w:r>
      <w:r>
        <w:t>, vol. 162,  pp. 705-708</w:t>
      </w:r>
      <w:r w:rsidR="005E6B9A">
        <w:t>, 1982</w:t>
      </w:r>
      <w:r>
        <w:t xml:space="preserve">. </w:t>
      </w:r>
    </w:p>
    <w:p w:rsidR="008F1072" w:rsidRPr="008F1072" w:rsidRDefault="008F1072" w:rsidP="008F1072">
      <w:pPr>
        <w:pStyle w:val="references"/>
      </w:pPr>
      <w:r w:rsidRPr="008F1072">
        <w:t>J</w:t>
      </w:r>
      <w:r>
        <w:t xml:space="preserve">. </w:t>
      </w:r>
      <w:r w:rsidRPr="008F1072">
        <w:t>Ekanayake, T</w:t>
      </w:r>
      <w:r>
        <w:t>.</w:t>
      </w:r>
      <w:r w:rsidRPr="008F1072">
        <w:t xml:space="preserve"> Gunarathne, X</w:t>
      </w:r>
      <w:r>
        <w:t>.</w:t>
      </w:r>
      <w:r w:rsidRPr="008F1072">
        <w:t xml:space="preserve"> Qiu, </w:t>
      </w:r>
      <w:r>
        <w:t>“</w:t>
      </w:r>
      <w:r w:rsidRPr="008F1072">
        <w:t>Cloud Technologies for Bioinformatics Applications</w:t>
      </w:r>
      <w:r w:rsidR="00145A8E">
        <w:t>,</w:t>
      </w:r>
      <w:r>
        <w:t>”</w:t>
      </w:r>
      <w:r w:rsidRPr="008F1072">
        <w:t xml:space="preserve"> accepted to the </w:t>
      </w:r>
      <w:r w:rsidRPr="00F913DD">
        <w:rPr>
          <w:i/>
        </w:rPr>
        <w:t>Journal of IEEE Transactions on Parallel and Distributed System</w:t>
      </w:r>
      <w:r w:rsidR="00F913DD">
        <w:rPr>
          <w:i/>
        </w:rPr>
        <w:t>s,</w:t>
      </w:r>
      <w:r w:rsidRPr="008F1072">
        <w:t xml:space="preserve"> Special</w:t>
      </w:r>
      <w:r w:rsidR="00F913DD">
        <w:t xml:space="preserve"> Issues on Many-Task Computing, accepted for publication.</w:t>
      </w:r>
    </w:p>
    <w:p w:rsidR="00EA7837" w:rsidRPr="008F1072" w:rsidRDefault="008F1072" w:rsidP="001C6591">
      <w:pPr>
        <w:pStyle w:val="references"/>
      </w:pPr>
      <w:r w:rsidRPr="008F1072">
        <w:t>J</w:t>
      </w:r>
      <w:r>
        <w:t>.</w:t>
      </w:r>
      <w:r w:rsidRPr="008F1072">
        <w:t xml:space="preserve"> Qiu, </w:t>
      </w:r>
      <w:r>
        <w:t>et al.</w:t>
      </w:r>
      <w:r w:rsidRPr="008F1072">
        <w:t xml:space="preserve">, </w:t>
      </w:r>
      <w:r>
        <w:t>“</w:t>
      </w:r>
      <w:r w:rsidRPr="008F1072">
        <w:t>Data Intensive Computing for Bioinformatics</w:t>
      </w:r>
      <w:r w:rsidR="00145A8E">
        <w:t>,</w:t>
      </w:r>
      <w:r>
        <w:t>”</w:t>
      </w:r>
      <w:r w:rsidRPr="008F1072">
        <w:t xml:space="preserve"> </w:t>
      </w:r>
      <w:r w:rsidR="000F1D6D">
        <w:t xml:space="preserve"> in </w:t>
      </w:r>
      <w:r w:rsidRPr="000F1D6D">
        <w:rPr>
          <w:i/>
        </w:rPr>
        <w:t>Data Intensive Distributed Computing</w:t>
      </w:r>
      <w:r w:rsidR="000F1D6D">
        <w:t xml:space="preserve">.  </w:t>
      </w:r>
      <w:r w:rsidR="00F40FDC">
        <w:t>Hershey, PA:</w:t>
      </w:r>
      <w:r>
        <w:t xml:space="preserve">IGI </w:t>
      </w:r>
      <w:r w:rsidR="000F1D6D">
        <w:t xml:space="preserve"> Global</w:t>
      </w:r>
      <w:r>
        <w:t>:</w:t>
      </w:r>
      <w:r w:rsidRPr="008F1072">
        <w:t xml:space="preserve"> 201</w:t>
      </w:r>
      <w:r w:rsidR="000F1D6D">
        <w:t>1</w:t>
      </w:r>
      <w:r w:rsidRPr="008F1072">
        <w:t>.</w:t>
      </w:r>
    </w:p>
    <w:p w:rsidR="008F1072" w:rsidRPr="008F1072" w:rsidRDefault="008F1072" w:rsidP="001C6591">
      <w:pPr>
        <w:pStyle w:val="references"/>
      </w:pPr>
      <w:r w:rsidRPr="008F1072">
        <w:t>G</w:t>
      </w:r>
      <w:r>
        <w:t xml:space="preserve">. </w:t>
      </w:r>
      <w:r w:rsidRPr="008F1072">
        <w:t xml:space="preserve">Fox, </w:t>
      </w:r>
      <w:r>
        <w:t>et al., “</w:t>
      </w:r>
      <w:r w:rsidRPr="008F1072">
        <w:t>Biomedical Case Studies in Data Intensive Computing</w:t>
      </w:r>
      <w:r w:rsidR="00145A8E">
        <w:t>,</w:t>
      </w:r>
      <w:r>
        <w:t>”</w:t>
      </w:r>
      <w:r w:rsidR="00145A8E">
        <w:t xml:space="preserve"> k</w:t>
      </w:r>
      <w:r w:rsidRPr="008F1072">
        <w:t>eynote talk</w:t>
      </w:r>
      <w:r w:rsidR="004D4BD0" w:rsidRPr="004D4BD0">
        <w:rPr>
          <w:i/>
        </w:rPr>
        <w:t xml:space="preserve">, </w:t>
      </w:r>
      <w:r w:rsidRPr="004D4BD0">
        <w:rPr>
          <w:i/>
        </w:rPr>
        <w:t xml:space="preserve">1st International Conference on Cloud </w:t>
      </w:r>
      <w:r w:rsidRPr="004D4BD0">
        <w:rPr>
          <w:i/>
        </w:rPr>
        <w:lastRenderedPageBreak/>
        <w:t>Computing (CloudCom 2009)</w:t>
      </w:r>
      <w:r w:rsidR="004D4BD0">
        <w:t>,</w:t>
      </w:r>
      <w:r w:rsidRPr="008F1072">
        <w:t xml:space="preserve"> Beijing Jiaotong University, China </w:t>
      </w:r>
      <w:r w:rsidR="00DD706E">
        <w:t xml:space="preserve">Dec. </w:t>
      </w:r>
      <w:r w:rsidRPr="008F1072">
        <w:t>2009</w:t>
      </w:r>
      <w:r w:rsidR="00DD706E">
        <w:t>.</w:t>
      </w:r>
    </w:p>
    <w:p w:rsidR="009303D9" w:rsidRPr="008F1072" w:rsidRDefault="0078068F">
      <w:pPr>
        <w:pStyle w:val="references"/>
      </w:pPr>
      <w:r w:rsidRPr="008F1072">
        <w:t xml:space="preserve">J. Lowy, </w:t>
      </w:r>
      <w:r w:rsidRPr="00410B01">
        <w:rPr>
          <w:i/>
        </w:rPr>
        <w:t>Programming WCF Services</w:t>
      </w:r>
      <w:r w:rsidRPr="008F1072">
        <w:t>, 1st ed.</w:t>
      </w:r>
      <w:r w:rsidR="009303D9" w:rsidRPr="008F1072">
        <w:t xml:space="preserve"> </w:t>
      </w:r>
      <w:r w:rsidRPr="008F1072">
        <w:t>S</w:t>
      </w:r>
      <w:r w:rsidR="00FC7BF3" w:rsidRPr="008F1072">
        <w:t>e</w:t>
      </w:r>
      <w:r w:rsidRPr="008F1072">
        <w:t>bastopol, CA: O’Reilly Media, 2007</w:t>
      </w:r>
      <w:r w:rsidR="009303D9" w:rsidRPr="008F1072">
        <w:t>.</w:t>
      </w:r>
    </w:p>
    <w:p w:rsidR="009303D9" w:rsidRPr="008F1072" w:rsidRDefault="007D3382">
      <w:pPr>
        <w:pStyle w:val="references"/>
      </w:pPr>
      <w:r w:rsidRPr="008F1072">
        <w:t xml:space="preserve">T. Erl, </w:t>
      </w:r>
      <w:r w:rsidRPr="00BE05C5">
        <w:rPr>
          <w:i/>
        </w:rPr>
        <w:t xml:space="preserve">Service-Oriented Architecture (SOA): Concepts, Technology, </w:t>
      </w:r>
      <w:r w:rsidR="00410B01" w:rsidRPr="00BE05C5">
        <w:rPr>
          <w:i/>
        </w:rPr>
        <w:t>and Design</w:t>
      </w:r>
      <w:r w:rsidR="00410B01">
        <w:t xml:space="preserve">, </w:t>
      </w:r>
      <w:r w:rsidRPr="008F1072">
        <w:t>9th ed.  Crawfordsville, IN: R.R. Donnelley, 2009</w:t>
      </w:r>
      <w:r w:rsidR="009303D9" w:rsidRPr="008F1072">
        <w:t>.</w:t>
      </w:r>
    </w:p>
    <w:p w:rsidR="00831002" w:rsidRPr="008F1072" w:rsidRDefault="00831002">
      <w:pPr>
        <w:pStyle w:val="references"/>
      </w:pPr>
      <w:r w:rsidRPr="008F1072">
        <w:t xml:space="preserve">K. Tong, </w:t>
      </w:r>
      <w:r w:rsidRPr="00674A13">
        <w:rPr>
          <w:i/>
        </w:rPr>
        <w:t>Develop</w:t>
      </w:r>
      <w:r w:rsidR="006F589C" w:rsidRPr="00674A13">
        <w:rPr>
          <w:i/>
        </w:rPr>
        <w:t>ing Web Services with Apache CXF</w:t>
      </w:r>
      <w:r w:rsidRPr="00674A13">
        <w:rPr>
          <w:i/>
        </w:rPr>
        <w:t xml:space="preserve"> and Axis2</w:t>
      </w:r>
      <w:r w:rsidRPr="008F1072">
        <w:t>, 3rd ed.  TipTec Development, 2010.</w:t>
      </w:r>
    </w:p>
    <w:p w:rsidR="00E31EC2" w:rsidRDefault="00E31EC2">
      <w:pPr>
        <w:pStyle w:val="references"/>
      </w:pPr>
      <w:r w:rsidRPr="008F1072">
        <w:t>A. Ferarra and M. MacDonald</w:t>
      </w:r>
      <w:r w:rsidRPr="00674A13">
        <w:rPr>
          <w:i/>
        </w:rPr>
        <w:t>, Programming .NET Web Services</w:t>
      </w:r>
      <w:r w:rsidR="005B7181">
        <w:t>, 1st ed.  Sebastopol, C</w:t>
      </w:r>
      <w:r w:rsidR="006E2646" w:rsidRPr="008F1072">
        <w:t xml:space="preserve">A: </w:t>
      </w:r>
      <w:r w:rsidR="005B7181">
        <w:t xml:space="preserve">O’Reilly Media, </w:t>
      </w:r>
      <w:r w:rsidR="006E2646" w:rsidRPr="008F1072">
        <w:t>2002.</w:t>
      </w:r>
    </w:p>
    <w:p w:rsidR="00BD35F2" w:rsidRPr="008F1072" w:rsidRDefault="009A7322">
      <w:pPr>
        <w:pStyle w:val="references"/>
      </w:pPr>
      <w:r>
        <w:t>J. Ekanayake, et al., “Twister: a runtime for iterative mapreduce,” Proceedings of the First International Workshop on MapReduce and its Applications of ACM HPDC 2010, June 20-25, 2010, Chicago, Illinois.</w:t>
      </w:r>
    </w:p>
    <w:p w:rsidR="0019019E" w:rsidRDefault="0019019E" w:rsidP="0019019E">
      <w:pPr>
        <w:pStyle w:val="figurecaption"/>
        <w:numPr>
          <w:ilvl w:val="0"/>
          <w:numId w:val="0"/>
        </w:numPr>
        <w:jc w:val="both"/>
      </w:pPr>
    </w:p>
    <w:p w:rsidR="0019019E" w:rsidRDefault="0019019E" w:rsidP="0019019E">
      <w:pPr>
        <w:pStyle w:val="figurecaption"/>
        <w:sectPr w:rsidR="0019019E" w:rsidSect="00E77B53">
          <w:type w:val="continuous"/>
          <w:pgSz w:w="12240" w:h="15840" w:code="1"/>
          <w:pgMar w:top="1440" w:right="1080" w:bottom="1440" w:left="1080" w:header="720" w:footer="720" w:gutter="0"/>
          <w:cols w:num="2" w:space="360"/>
          <w:docGrid w:linePitch="360"/>
        </w:sectPr>
      </w:pPr>
    </w:p>
    <w:p w:rsidR="0019019E" w:rsidRDefault="0019019E" w:rsidP="0019019E">
      <w:pPr>
        <w:pStyle w:val="figurecaption"/>
        <w:numPr>
          <w:ilvl w:val="0"/>
          <w:numId w:val="0"/>
        </w:numPr>
      </w:pPr>
    </w:p>
    <w:p w:rsidR="00535FB7" w:rsidRDefault="00535FB7" w:rsidP="00535FB7">
      <w:pPr>
        <w:pStyle w:val="figurecaption"/>
        <w:numPr>
          <w:ilvl w:val="0"/>
          <w:numId w:val="0"/>
        </w:numPr>
        <w:jc w:val="both"/>
      </w:pPr>
    </w:p>
    <w:p w:rsidR="0065236D" w:rsidRDefault="0065236D" w:rsidP="0065236D">
      <w:pPr>
        <w:pStyle w:val="figurecaption"/>
        <w:numPr>
          <w:ilvl w:val="0"/>
          <w:numId w:val="0"/>
        </w:numPr>
        <w:jc w:val="both"/>
      </w:pPr>
    </w:p>
    <w:p w:rsidR="00EC2DB2" w:rsidRDefault="00EC2DB2" w:rsidP="0065236D">
      <w:pPr>
        <w:pStyle w:val="figurecaption"/>
        <w:numPr>
          <w:ilvl w:val="0"/>
          <w:numId w:val="0"/>
        </w:numPr>
        <w:jc w:val="both"/>
      </w:pPr>
    </w:p>
    <w:p w:rsidR="00EC2DB2" w:rsidRDefault="00EC2DB2" w:rsidP="0065236D">
      <w:pPr>
        <w:pStyle w:val="figurecaption"/>
        <w:numPr>
          <w:ilvl w:val="0"/>
          <w:numId w:val="0"/>
        </w:numPr>
        <w:jc w:val="both"/>
      </w:pPr>
    </w:p>
    <w:p w:rsidR="00EC2DB2" w:rsidRDefault="00EC2DB2" w:rsidP="0065236D">
      <w:pPr>
        <w:pStyle w:val="figurecaption"/>
        <w:numPr>
          <w:ilvl w:val="0"/>
          <w:numId w:val="0"/>
        </w:numPr>
        <w:jc w:val="both"/>
      </w:pPr>
    </w:p>
    <w:p w:rsidR="00385556" w:rsidRDefault="00385556" w:rsidP="00385556">
      <w:pPr>
        <w:pStyle w:val="Default"/>
      </w:pPr>
    </w:p>
    <w:p w:rsidR="004F053F" w:rsidRPr="005A74AF" w:rsidRDefault="004F053F">
      <w:pPr>
        <w:pStyle w:val="figurecaption"/>
        <w:numPr>
          <w:ilvl w:val="0"/>
          <w:numId w:val="0"/>
        </w:numPr>
        <w:jc w:val="both"/>
      </w:pPr>
    </w:p>
    <w:sectPr w:rsidR="004F053F" w:rsidRPr="005A74A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C0" w:rsidRDefault="00472EC0" w:rsidP="00170CB5">
      <w:r>
        <w:separator/>
      </w:r>
    </w:p>
  </w:endnote>
  <w:endnote w:type="continuationSeparator" w:id="0">
    <w:p w:rsidR="00472EC0" w:rsidRDefault="00472EC0" w:rsidP="00170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C0" w:rsidRDefault="00472EC0" w:rsidP="00170CB5">
      <w:r>
        <w:separator/>
      </w:r>
    </w:p>
  </w:footnote>
  <w:footnote w:type="continuationSeparator" w:id="0">
    <w:p w:rsidR="00472EC0" w:rsidRDefault="00472EC0" w:rsidP="00170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FB5A7A"/>
    <w:multiLevelType w:val="multilevel"/>
    <w:tmpl w:val="C6507470"/>
    <w:lvl w:ilvl="0">
      <w:start w:val="1"/>
      <w:numFmt w:val="bullet"/>
      <w:lvlText w:val=""/>
      <w:lvlJc w:val="left"/>
      <w:pPr>
        <w:tabs>
          <w:tab w:val="num" w:pos="576"/>
        </w:tabs>
        <w:ind w:firstLine="216"/>
      </w:pPr>
      <w:rPr>
        <w:rFonts w:ascii="Symbol" w:hAnsi="Symbol"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23774CB9"/>
    <w:multiLevelType w:val="hybridMultilevel"/>
    <w:tmpl w:val="346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F5514DF"/>
    <w:multiLevelType w:val="multilevel"/>
    <w:tmpl w:val="72BAD064"/>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64C81309"/>
    <w:multiLevelType w:val="multilevel"/>
    <w:tmpl w:val="F5AE9DAE"/>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7"/>
  </w:num>
  <w:num w:numId="9">
    <w:abstractNumId w:val="11"/>
  </w:num>
  <w:num w:numId="10">
    <w:abstractNumId w:val="5"/>
  </w:num>
  <w:num w:numId="11">
    <w:abstractNumId w:val="0"/>
  </w:num>
  <w:num w:numId="12">
    <w:abstractNumId w:val="9"/>
  </w:num>
  <w:num w:numId="13">
    <w:abstractNumId w:val="8"/>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9303D9"/>
    <w:rsid w:val="00006C41"/>
    <w:rsid w:val="00014262"/>
    <w:rsid w:val="00025F9B"/>
    <w:rsid w:val="00037477"/>
    <w:rsid w:val="00041F16"/>
    <w:rsid w:val="000500EE"/>
    <w:rsid w:val="00074D23"/>
    <w:rsid w:val="0007660D"/>
    <w:rsid w:val="00077BF9"/>
    <w:rsid w:val="00083DE4"/>
    <w:rsid w:val="00085B4B"/>
    <w:rsid w:val="000A01DE"/>
    <w:rsid w:val="000A1786"/>
    <w:rsid w:val="000C614A"/>
    <w:rsid w:val="000E0E38"/>
    <w:rsid w:val="000F011A"/>
    <w:rsid w:val="000F1D6D"/>
    <w:rsid w:val="00107796"/>
    <w:rsid w:val="001222A5"/>
    <w:rsid w:val="00126036"/>
    <w:rsid w:val="00141578"/>
    <w:rsid w:val="0014475C"/>
    <w:rsid w:val="00145A8E"/>
    <w:rsid w:val="00147D35"/>
    <w:rsid w:val="0015552F"/>
    <w:rsid w:val="00155E5C"/>
    <w:rsid w:val="00167C24"/>
    <w:rsid w:val="00170CB5"/>
    <w:rsid w:val="0019019E"/>
    <w:rsid w:val="00197C42"/>
    <w:rsid w:val="00197CC1"/>
    <w:rsid w:val="001A352E"/>
    <w:rsid w:val="001A6948"/>
    <w:rsid w:val="001B32DE"/>
    <w:rsid w:val="001C6591"/>
    <w:rsid w:val="001D54B0"/>
    <w:rsid w:val="001D69D2"/>
    <w:rsid w:val="001E249C"/>
    <w:rsid w:val="001E3999"/>
    <w:rsid w:val="001E510C"/>
    <w:rsid w:val="001F649F"/>
    <w:rsid w:val="0022468A"/>
    <w:rsid w:val="002254A9"/>
    <w:rsid w:val="002302D8"/>
    <w:rsid w:val="00235874"/>
    <w:rsid w:val="0025609E"/>
    <w:rsid w:val="0026029F"/>
    <w:rsid w:val="00265408"/>
    <w:rsid w:val="00265917"/>
    <w:rsid w:val="00296DB7"/>
    <w:rsid w:val="002A5C34"/>
    <w:rsid w:val="002C3157"/>
    <w:rsid w:val="002D0829"/>
    <w:rsid w:val="002D7C57"/>
    <w:rsid w:val="002E070E"/>
    <w:rsid w:val="002E4AB2"/>
    <w:rsid w:val="002F6849"/>
    <w:rsid w:val="003043EF"/>
    <w:rsid w:val="003063CC"/>
    <w:rsid w:val="003454D7"/>
    <w:rsid w:val="00345BF6"/>
    <w:rsid w:val="00347B58"/>
    <w:rsid w:val="00364257"/>
    <w:rsid w:val="00364F28"/>
    <w:rsid w:val="003773D7"/>
    <w:rsid w:val="00383E69"/>
    <w:rsid w:val="00385556"/>
    <w:rsid w:val="00391A50"/>
    <w:rsid w:val="003B2B2D"/>
    <w:rsid w:val="003B577E"/>
    <w:rsid w:val="003C5102"/>
    <w:rsid w:val="003E0655"/>
    <w:rsid w:val="003E652F"/>
    <w:rsid w:val="003E7C08"/>
    <w:rsid w:val="003F31D2"/>
    <w:rsid w:val="00403873"/>
    <w:rsid w:val="00410B01"/>
    <w:rsid w:val="00441A9C"/>
    <w:rsid w:val="00451696"/>
    <w:rsid w:val="00472C6A"/>
    <w:rsid w:val="00472EC0"/>
    <w:rsid w:val="00476486"/>
    <w:rsid w:val="0048615B"/>
    <w:rsid w:val="00490F87"/>
    <w:rsid w:val="004A073C"/>
    <w:rsid w:val="004A1374"/>
    <w:rsid w:val="004A6579"/>
    <w:rsid w:val="004A6CC9"/>
    <w:rsid w:val="004B1A63"/>
    <w:rsid w:val="004C28F2"/>
    <w:rsid w:val="004D4BD0"/>
    <w:rsid w:val="004D53FF"/>
    <w:rsid w:val="004E6DBA"/>
    <w:rsid w:val="004F053F"/>
    <w:rsid w:val="005059DC"/>
    <w:rsid w:val="00512696"/>
    <w:rsid w:val="005145BC"/>
    <w:rsid w:val="00524FAA"/>
    <w:rsid w:val="00533BA4"/>
    <w:rsid w:val="00535FB7"/>
    <w:rsid w:val="005446D5"/>
    <w:rsid w:val="00560377"/>
    <w:rsid w:val="00562455"/>
    <w:rsid w:val="00563862"/>
    <w:rsid w:val="00566F7A"/>
    <w:rsid w:val="00570CA2"/>
    <w:rsid w:val="005732EA"/>
    <w:rsid w:val="00587283"/>
    <w:rsid w:val="00595A1E"/>
    <w:rsid w:val="00596CCF"/>
    <w:rsid w:val="005A641A"/>
    <w:rsid w:val="005A74AF"/>
    <w:rsid w:val="005B520E"/>
    <w:rsid w:val="005B7181"/>
    <w:rsid w:val="005C363C"/>
    <w:rsid w:val="005D2D0F"/>
    <w:rsid w:val="005E02FE"/>
    <w:rsid w:val="005E30CC"/>
    <w:rsid w:val="005E6B9A"/>
    <w:rsid w:val="00606FEF"/>
    <w:rsid w:val="00607063"/>
    <w:rsid w:val="0061660B"/>
    <w:rsid w:val="00620743"/>
    <w:rsid w:val="006260F0"/>
    <w:rsid w:val="0064080A"/>
    <w:rsid w:val="00643478"/>
    <w:rsid w:val="0065236D"/>
    <w:rsid w:val="006700BD"/>
    <w:rsid w:val="00674A13"/>
    <w:rsid w:val="00682396"/>
    <w:rsid w:val="006876A4"/>
    <w:rsid w:val="00696196"/>
    <w:rsid w:val="006A0AD2"/>
    <w:rsid w:val="006A7F7A"/>
    <w:rsid w:val="006B5E76"/>
    <w:rsid w:val="006D31F0"/>
    <w:rsid w:val="006D703C"/>
    <w:rsid w:val="006E2230"/>
    <w:rsid w:val="006E2646"/>
    <w:rsid w:val="006F4C2D"/>
    <w:rsid w:val="006F589C"/>
    <w:rsid w:val="00711CE8"/>
    <w:rsid w:val="00714EE3"/>
    <w:rsid w:val="00715380"/>
    <w:rsid w:val="00720472"/>
    <w:rsid w:val="00732DC7"/>
    <w:rsid w:val="0074752D"/>
    <w:rsid w:val="007524F6"/>
    <w:rsid w:val="00754CEA"/>
    <w:rsid w:val="00761E45"/>
    <w:rsid w:val="0077631C"/>
    <w:rsid w:val="0078068F"/>
    <w:rsid w:val="007910D9"/>
    <w:rsid w:val="007C2FF2"/>
    <w:rsid w:val="007C582A"/>
    <w:rsid w:val="007D3382"/>
    <w:rsid w:val="007D5194"/>
    <w:rsid w:val="007F6EDE"/>
    <w:rsid w:val="00812FA0"/>
    <w:rsid w:val="00825A76"/>
    <w:rsid w:val="00831002"/>
    <w:rsid w:val="00847CAA"/>
    <w:rsid w:val="00854E7B"/>
    <w:rsid w:val="008806E4"/>
    <w:rsid w:val="008A0098"/>
    <w:rsid w:val="008A3E5C"/>
    <w:rsid w:val="008B018B"/>
    <w:rsid w:val="008B0857"/>
    <w:rsid w:val="008B0FEB"/>
    <w:rsid w:val="008B5AFC"/>
    <w:rsid w:val="008E1D5F"/>
    <w:rsid w:val="008E78C1"/>
    <w:rsid w:val="008E792D"/>
    <w:rsid w:val="008F1072"/>
    <w:rsid w:val="008F7AF3"/>
    <w:rsid w:val="009017D6"/>
    <w:rsid w:val="00905DC5"/>
    <w:rsid w:val="00911A01"/>
    <w:rsid w:val="0091539F"/>
    <w:rsid w:val="00917CBC"/>
    <w:rsid w:val="009245BE"/>
    <w:rsid w:val="009268DB"/>
    <w:rsid w:val="009303D9"/>
    <w:rsid w:val="009721AC"/>
    <w:rsid w:val="009A7322"/>
    <w:rsid w:val="009B068B"/>
    <w:rsid w:val="009D079E"/>
    <w:rsid w:val="009E6BDF"/>
    <w:rsid w:val="009E74FA"/>
    <w:rsid w:val="00A004CB"/>
    <w:rsid w:val="00A04082"/>
    <w:rsid w:val="00A13F1C"/>
    <w:rsid w:val="00A2121B"/>
    <w:rsid w:val="00A23C17"/>
    <w:rsid w:val="00A27B21"/>
    <w:rsid w:val="00A338BA"/>
    <w:rsid w:val="00A412C2"/>
    <w:rsid w:val="00A466B4"/>
    <w:rsid w:val="00A470E6"/>
    <w:rsid w:val="00A5579D"/>
    <w:rsid w:val="00A8260D"/>
    <w:rsid w:val="00AB27FF"/>
    <w:rsid w:val="00AB697D"/>
    <w:rsid w:val="00AC55C8"/>
    <w:rsid w:val="00AD160D"/>
    <w:rsid w:val="00AE20FD"/>
    <w:rsid w:val="00AF24EC"/>
    <w:rsid w:val="00AF4B86"/>
    <w:rsid w:val="00AF6767"/>
    <w:rsid w:val="00B02873"/>
    <w:rsid w:val="00B11A60"/>
    <w:rsid w:val="00B12AE0"/>
    <w:rsid w:val="00B1770F"/>
    <w:rsid w:val="00B3375C"/>
    <w:rsid w:val="00B33DC8"/>
    <w:rsid w:val="00B3598B"/>
    <w:rsid w:val="00B37A23"/>
    <w:rsid w:val="00B45BF2"/>
    <w:rsid w:val="00B46588"/>
    <w:rsid w:val="00B50FB4"/>
    <w:rsid w:val="00B5151C"/>
    <w:rsid w:val="00B66DD0"/>
    <w:rsid w:val="00B85CE5"/>
    <w:rsid w:val="00B8685C"/>
    <w:rsid w:val="00B86F43"/>
    <w:rsid w:val="00B939A7"/>
    <w:rsid w:val="00B969FE"/>
    <w:rsid w:val="00BC3523"/>
    <w:rsid w:val="00BD29FC"/>
    <w:rsid w:val="00BD35F2"/>
    <w:rsid w:val="00BE05C5"/>
    <w:rsid w:val="00BE3D20"/>
    <w:rsid w:val="00BF20FB"/>
    <w:rsid w:val="00C05607"/>
    <w:rsid w:val="00C11759"/>
    <w:rsid w:val="00C172F2"/>
    <w:rsid w:val="00C20780"/>
    <w:rsid w:val="00C2581F"/>
    <w:rsid w:val="00C270F7"/>
    <w:rsid w:val="00C370E6"/>
    <w:rsid w:val="00C413CF"/>
    <w:rsid w:val="00C47422"/>
    <w:rsid w:val="00C518EF"/>
    <w:rsid w:val="00C56719"/>
    <w:rsid w:val="00C72E69"/>
    <w:rsid w:val="00C76703"/>
    <w:rsid w:val="00CB40CD"/>
    <w:rsid w:val="00CC0CB4"/>
    <w:rsid w:val="00CD7F1B"/>
    <w:rsid w:val="00CE2AC7"/>
    <w:rsid w:val="00D247CB"/>
    <w:rsid w:val="00D65FB4"/>
    <w:rsid w:val="00D84E12"/>
    <w:rsid w:val="00D95A4A"/>
    <w:rsid w:val="00DA0FC6"/>
    <w:rsid w:val="00DD00F1"/>
    <w:rsid w:val="00DD5C33"/>
    <w:rsid w:val="00DD706E"/>
    <w:rsid w:val="00DE0AD7"/>
    <w:rsid w:val="00DF7930"/>
    <w:rsid w:val="00E048E4"/>
    <w:rsid w:val="00E15626"/>
    <w:rsid w:val="00E253F1"/>
    <w:rsid w:val="00E31EC2"/>
    <w:rsid w:val="00E362E6"/>
    <w:rsid w:val="00E4138B"/>
    <w:rsid w:val="00E61324"/>
    <w:rsid w:val="00E74572"/>
    <w:rsid w:val="00E77B53"/>
    <w:rsid w:val="00E83787"/>
    <w:rsid w:val="00E91A23"/>
    <w:rsid w:val="00E95037"/>
    <w:rsid w:val="00E95DC1"/>
    <w:rsid w:val="00EA7837"/>
    <w:rsid w:val="00EC2DB2"/>
    <w:rsid w:val="00EC5A3B"/>
    <w:rsid w:val="00ED339A"/>
    <w:rsid w:val="00EF5FD3"/>
    <w:rsid w:val="00EF7D53"/>
    <w:rsid w:val="00F00B52"/>
    <w:rsid w:val="00F0281D"/>
    <w:rsid w:val="00F03099"/>
    <w:rsid w:val="00F1658A"/>
    <w:rsid w:val="00F21009"/>
    <w:rsid w:val="00F33E6F"/>
    <w:rsid w:val="00F40FDC"/>
    <w:rsid w:val="00F41583"/>
    <w:rsid w:val="00F41D06"/>
    <w:rsid w:val="00F43004"/>
    <w:rsid w:val="00F43310"/>
    <w:rsid w:val="00F46EF3"/>
    <w:rsid w:val="00F554E8"/>
    <w:rsid w:val="00F55516"/>
    <w:rsid w:val="00F55B15"/>
    <w:rsid w:val="00F61800"/>
    <w:rsid w:val="00F641FE"/>
    <w:rsid w:val="00F80A9B"/>
    <w:rsid w:val="00F913DD"/>
    <w:rsid w:val="00FA27DF"/>
    <w:rsid w:val="00FA413F"/>
    <w:rsid w:val="00FB744E"/>
    <w:rsid w:val="00FC1126"/>
    <w:rsid w:val="00FC7BF3"/>
    <w:rsid w:val="00FF4DEB"/>
    <w:rsid w:val="00FF6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0" type="connector" idref="#_x0000_s1374">
          <o:proxy start="" idref="#_x0000_s1370" connectloc="6"/>
          <o:proxy end="" idref="#_x0000_s1371" connectloc="2"/>
        </o:r>
        <o:r id="V:Rule11" type="connector" idref="#_x0000_s1379">
          <o:proxy start="" idref="#_x0000_s1372" connectloc="4"/>
          <o:proxy end="" idref="#_x0000_s1371" connectloc="4"/>
        </o:r>
        <o:r id="V:Rule12" type="connector" idref="#_x0000_s1373">
          <o:proxy start="" idref="#_x0000_s1370" connectloc="0"/>
          <o:proxy end="" idref="#_x0000_s1372" connectloc="1"/>
        </o:r>
        <o:r id="V:Rule13" type="connector" idref="#_x0000_s1376">
          <o:proxy start="" idref="#_x0000_s1368" connectloc="3"/>
        </o:r>
        <o:r id="V:Rule14" type="connector" idref="#_x0000_s1375">
          <o:proxy start="" idref="#_x0000_s1368" connectloc="3"/>
          <o:proxy end="" idref="#_x0000_s1369" connectloc="1"/>
        </o:r>
        <o:r id="V:Rule15" type="connector" idref="#_x0000_s1381">
          <o:proxy start="" idref="#_x0000_s1367" connectloc="3"/>
          <o:proxy end="" idref="#_x0000_s1362" connectloc="1"/>
        </o:r>
        <o:r id="V:Rule16" type="connector" idref="#_x0000_s1377">
          <o:proxy start="" idref="#_x0000_s1368" connectloc="3"/>
        </o:r>
        <o:r id="V:Rule17" type="connector" idref="#_x0000_s1382">
          <o:proxy start="" idref="#_x0000_s1361" connectloc="1"/>
          <o:proxy end="" idref="#_x0000_s1380" connectloc="3"/>
        </o:r>
        <o:r id="V:Rule18" type="connector" idref="#_x0000_s1378">
          <o:proxy start="" idref="#_x0000_s1371" connectloc="4"/>
          <o:proxy end="" idref="#_x0000_s136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157"/>
    <w:pPr>
      <w:jc w:val="center"/>
    </w:pPr>
  </w:style>
  <w:style w:type="paragraph" w:styleId="Heading1">
    <w:name w:val="heading 1"/>
    <w:basedOn w:val="Normal"/>
    <w:next w:val="Normal"/>
    <w:link w:val="Heading1Char"/>
    <w:qFormat/>
    <w:rsid w:val="002C3157"/>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C3157"/>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C3157"/>
    <w:pPr>
      <w:numPr>
        <w:ilvl w:val="2"/>
        <w:numId w:val="6"/>
      </w:numPr>
      <w:spacing w:line="240" w:lineRule="exact"/>
      <w:jc w:val="both"/>
      <w:outlineLvl w:val="2"/>
    </w:pPr>
    <w:rPr>
      <w:i/>
      <w:iCs/>
      <w:noProof/>
    </w:rPr>
  </w:style>
  <w:style w:type="paragraph" w:styleId="Heading4">
    <w:name w:val="heading 4"/>
    <w:basedOn w:val="Normal"/>
    <w:next w:val="Normal"/>
    <w:qFormat/>
    <w:rsid w:val="002C3157"/>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2C315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C3157"/>
    <w:pPr>
      <w:spacing w:after="200"/>
      <w:jc w:val="both"/>
    </w:pPr>
    <w:rPr>
      <w:b/>
      <w:bCs/>
      <w:sz w:val="18"/>
      <w:szCs w:val="18"/>
    </w:rPr>
  </w:style>
  <w:style w:type="paragraph" w:customStyle="1" w:styleId="Affiliation">
    <w:name w:val="Affiliation"/>
    <w:rsid w:val="002C3157"/>
    <w:pPr>
      <w:jc w:val="center"/>
    </w:pPr>
  </w:style>
  <w:style w:type="paragraph" w:customStyle="1" w:styleId="Author">
    <w:name w:val="Author"/>
    <w:rsid w:val="002C3157"/>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2C3157"/>
    <w:pPr>
      <w:numPr>
        <w:numId w:val="1"/>
      </w:numPr>
    </w:pPr>
  </w:style>
  <w:style w:type="paragraph" w:customStyle="1" w:styleId="equation">
    <w:name w:val="equation"/>
    <w:basedOn w:val="Normal"/>
    <w:rsid w:val="002C315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2C3157"/>
    <w:pPr>
      <w:numPr>
        <w:numId w:val="2"/>
      </w:numPr>
      <w:spacing w:before="80" w:after="200"/>
      <w:jc w:val="center"/>
    </w:pPr>
    <w:rPr>
      <w:noProof/>
      <w:sz w:val="16"/>
      <w:szCs w:val="16"/>
    </w:rPr>
  </w:style>
  <w:style w:type="paragraph" w:customStyle="1" w:styleId="footnote">
    <w:name w:val="footnote"/>
    <w:rsid w:val="002C3157"/>
    <w:pPr>
      <w:framePr w:hSpace="187" w:vSpace="187" w:wrap="notBeside" w:vAnchor="text" w:hAnchor="page" w:x="6121" w:y="577"/>
      <w:numPr>
        <w:numId w:val="3"/>
      </w:numPr>
      <w:spacing w:after="40"/>
    </w:pPr>
    <w:rPr>
      <w:sz w:val="16"/>
      <w:szCs w:val="16"/>
    </w:rPr>
  </w:style>
  <w:style w:type="paragraph" w:customStyle="1" w:styleId="keywords">
    <w:name w:val="key words"/>
    <w:rsid w:val="002C3157"/>
    <w:pPr>
      <w:spacing w:after="120"/>
      <w:ind w:firstLine="288"/>
      <w:jc w:val="both"/>
    </w:pPr>
    <w:rPr>
      <w:b/>
      <w:bCs/>
      <w:i/>
      <w:iCs/>
      <w:noProof/>
      <w:sz w:val="18"/>
      <w:szCs w:val="18"/>
    </w:rPr>
  </w:style>
  <w:style w:type="paragraph" w:customStyle="1" w:styleId="papersubtitle">
    <w:name w:val="paper subtitle"/>
    <w:rsid w:val="002C3157"/>
    <w:pPr>
      <w:spacing w:after="120"/>
      <w:jc w:val="center"/>
    </w:pPr>
    <w:rPr>
      <w:rFonts w:eastAsia="MS Mincho"/>
      <w:noProof/>
      <w:sz w:val="28"/>
      <w:szCs w:val="28"/>
    </w:rPr>
  </w:style>
  <w:style w:type="paragraph" w:customStyle="1" w:styleId="papertitle">
    <w:name w:val="paper title"/>
    <w:rsid w:val="002C3157"/>
    <w:pPr>
      <w:spacing w:after="120"/>
      <w:jc w:val="center"/>
    </w:pPr>
    <w:rPr>
      <w:rFonts w:eastAsia="MS Mincho"/>
      <w:noProof/>
      <w:sz w:val="48"/>
      <w:szCs w:val="48"/>
    </w:rPr>
  </w:style>
  <w:style w:type="paragraph" w:customStyle="1" w:styleId="references">
    <w:name w:val="references"/>
    <w:rsid w:val="002C3157"/>
    <w:pPr>
      <w:numPr>
        <w:numId w:val="8"/>
      </w:numPr>
      <w:spacing w:after="50" w:line="180" w:lineRule="exact"/>
      <w:jc w:val="both"/>
    </w:pPr>
    <w:rPr>
      <w:rFonts w:eastAsia="MS Mincho"/>
      <w:noProof/>
      <w:sz w:val="16"/>
      <w:szCs w:val="16"/>
    </w:rPr>
  </w:style>
  <w:style w:type="paragraph" w:customStyle="1" w:styleId="sponsors">
    <w:name w:val="sponsors"/>
    <w:rsid w:val="002C3157"/>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C3157"/>
    <w:rPr>
      <w:b/>
      <w:bCs/>
      <w:sz w:val="16"/>
      <w:szCs w:val="16"/>
    </w:rPr>
  </w:style>
  <w:style w:type="paragraph" w:customStyle="1" w:styleId="tablecolsubhead">
    <w:name w:val="table col subhead"/>
    <w:basedOn w:val="tablecolhead"/>
    <w:rsid w:val="002C3157"/>
    <w:rPr>
      <w:i/>
      <w:iCs/>
      <w:sz w:val="15"/>
      <w:szCs w:val="15"/>
    </w:rPr>
  </w:style>
  <w:style w:type="paragraph" w:customStyle="1" w:styleId="tablecopy">
    <w:name w:val="table copy"/>
    <w:rsid w:val="002C3157"/>
    <w:pPr>
      <w:jc w:val="both"/>
    </w:pPr>
    <w:rPr>
      <w:noProof/>
      <w:sz w:val="16"/>
      <w:szCs w:val="16"/>
    </w:rPr>
  </w:style>
  <w:style w:type="paragraph" w:customStyle="1" w:styleId="tablefootnote">
    <w:name w:val="table footnote"/>
    <w:rsid w:val="002C3157"/>
    <w:pPr>
      <w:spacing w:before="60" w:after="30"/>
      <w:jc w:val="right"/>
    </w:pPr>
    <w:rPr>
      <w:sz w:val="12"/>
      <w:szCs w:val="12"/>
    </w:rPr>
  </w:style>
  <w:style w:type="paragraph" w:customStyle="1" w:styleId="tablehead">
    <w:name w:val="table head"/>
    <w:rsid w:val="002C3157"/>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014262"/>
    <w:rPr>
      <w:rFonts w:ascii="Tahoma" w:hAnsi="Tahoma" w:cs="Tahoma"/>
      <w:sz w:val="16"/>
      <w:szCs w:val="16"/>
    </w:rPr>
  </w:style>
  <w:style w:type="character" w:customStyle="1" w:styleId="BalloonTextChar">
    <w:name w:val="Balloon Text Char"/>
    <w:basedOn w:val="DefaultParagraphFont"/>
    <w:link w:val="BalloonText"/>
    <w:rsid w:val="00014262"/>
    <w:rPr>
      <w:rFonts w:ascii="Tahoma" w:hAnsi="Tahoma" w:cs="Tahoma"/>
      <w:sz w:val="16"/>
      <w:szCs w:val="16"/>
    </w:rPr>
  </w:style>
  <w:style w:type="paragraph" w:styleId="Caption">
    <w:name w:val="caption"/>
    <w:basedOn w:val="Normal"/>
    <w:next w:val="Normal"/>
    <w:unhideWhenUsed/>
    <w:qFormat/>
    <w:rsid w:val="00041F16"/>
    <w:pPr>
      <w:spacing w:after="200"/>
    </w:pPr>
    <w:rPr>
      <w:b/>
      <w:bCs/>
      <w:color w:val="4F81BD" w:themeColor="accent1"/>
      <w:sz w:val="18"/>
      <w:szCs w:val="18"/>
    </w:rPr>
  </w:style>
  <w:style w:type="character" w:customStyle="1" w:styleId="BodyTextChar">
    <w:name w:val="Body Text Char"/>
    <w:basedOn w:val="DefaultParagraphFont"/>
    <w:link w:val="BodyText"/>
    <w:rsid w:val="00A470E6"/>
    <w:rPr>
      <w:spacing w:val="-1"/>
    </w:rPr>
  </w:style>
  <w:style w:type="character" w:customStyle="1" w:styleId="apple-style-span">
    <w:name w:val="apple-style-span"/>
    <w:basedOn w:val="DefaultParagraphFont"/>
    <w:rsid w:val="00A470E6"/>
  </w:style>
  <w:style w:type="paragraph" w:styleId="Header">
    <w:name w:val="header"/>
    <w:basedOn w:val="Normal"/>
    <w:link w:val="HeaderChar"/>
    <w:rsid w:val="00170CB5"/>
    <w:pPr>
      <w:tabs>
        <w:tab w:val="center" w:pos="4680"/>
        <w:tab w:val="right" w:pos="9360"/>
      </w:tabs>
    </w:pPr>
  </w:style>
  <w:style w:type="character" w:customStyle="1" w:styleId="HeaderChar">
    <w:name w:val="Header Char"/>
    <w:basedOn w:val="DefaultParagraphFont"/>
    <w:link w:val="Header"/>
    <w:rsid w:val="00170CB5"/>
  </w:style>
  <w:style w:type="paragraph" w:styleId="Footer">
    <w:name w:val="footer"/>
    <w:basedOn w:val="Normal"/>
    <w:link w:val="FooterChar"/>
    <w:rsid w:val="00170CB5"/>
    <w:pPr>
      <w:tabs>
        <w:tab w:val="center" w:pos="4680"/>
        <w:tab w:val="right" w:pos="9360"/>
      </w:tabs>
    </w:pPr>
  </w:style>
  <w:style w:type="character" w:customStyle="1" w:styleId="FooterChar">
    <w:name w:val="Footer Char"/>
    <w:basedOn w:val="DefaultParagraphFont"/>
    <w:link w:val="Footer"/>
    <w:rsid w:val="00170CB5"/>
  </w:style>
  <w:style w:type="paragraph" w:styleId="ListParagraph">
    <w:name w:val="List Paragraph"/>
    <w:basedOn w:val="Normal"/>
    <w:uiPriority w:val="34"/>
    <w:qFormat/>
    <w:rsid w:val="00F1658A"/>
    <w:pPr>
      <w:ind w:left="720"/>
      <w:contextualSpacing/>
    </w:pPr>
  </w:style>
  <w:style w:type="character" w:customStyle="1" w:styleId="Heading1Char">
    <w:name w:val="Heading 1 Char"/>
    <w:basedOn w:val="DefaultParagraphFont"/>
    <w:link w:val="Heading1"/>
    <w:rsid w:val="00E253F1"/>
    <w:rPr>
      <w:smallCaps/>
      <w:noProof/>
    </w:rPr>
  </w:style>
  <w:style w:type="character" w:styleId="Hyperlink">
    <w:name w:val="Hyperlink"/>
    <w:basedOn w:val="DefaultParagraphFont"/>
    <w:uiPriority w:val="99"/>
    <w:unhideWhenUsed/>
    <w:rsid w:val="008F1072"/>
    <w:rPr>
      <w:color w:val="0000FF"/>
      <w:u w:val="single"/>
    </w:rPr>
  </w:style>
  <w:style w:type="paragraph" w:customStyle="1" w:styleId="Default">
    <w:name w:val="Default"/>
    <w:rsid w:val="0038555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081">
      <w:bodyDiv w:val="1"/>
      <w:marLeft w:val="0"/>
      <w:marRight w:val="0"/>
      <w:marTop w:val="0"/>
      <w:marBottom w:val="0"/>
      <w:divBdr>
        <w:top w:val="none" w:sz="0" w:space="0" w:color="auto"/>
        <w:left w:val="none" w:sz="0" w:space="0" w:color="auto"/>
        <w:bottom w:val="none" w:sz="0" w:space="0" w:color="auto"/>
        <w:right w:val="none" w:sz="0" w:space="0" w:color="auto"/>
      </w:divBdr>
      <w:divsChild>
        <w:div w:id="214394570">
          <w:marLeft w:val="0"/>
          <w:marRight w:val="0"/>
          <w:marTop w:val="0"/>
          <w:marBottom w:val="0"/>
          <w:divBdr>
            <w:top w:val="none" w:sz="0" w:space="0" w:color="auto"/>
            <w:left w:val="none" w:sz="0" w:space="0" w:color="auto"/>
            <w:bottom w:val="none" w:sz="0" w:space="0" w:color="auto"/>
            <w:right w:val="none" w:sz="0" w:space="0" w:color="auto"/>
          </w:divBdr>
        </w:div>
      </w:divsChild>
    </w:div>
    <w:div w:id="185487572">
      <w:bodyDiv w:val="1"/>
      <w:marLeft w:val="0"/>
      <w:marRight w:val="0"/>
      <w:marTop w:val="0"/>
      <w:marBottom w:val="0"/>
      <w:divBdr>
        <w:top w:val="none" w:sz="0" w:space="0" w:color="auto"/>
        <w:left w:val="none" w:sz="0" w:space="0" w:color="auto"/>
        <w:bottom w:val="none" w:sz="0" w:space="0" w:color="auto"/>
        <w:right w:val="none" w:sz="0" w:space="0" w:color="auto"/>
      </w:divBdr>
      <w:divsChild>
        <w:div w:id="976029126">
          <w:marLeft w:val="0"/>
          <w:marRight w:val="0"/>
          <w:marTop w:val="0"/>
          <w:marBottom w:val="0"/>
          <w:divBdr>
            <w:top w:val="none" w:sz="0" w:space="0" w:color="auto"/>
            <w:left w:val="none" w:sz="0" w:space="0" w:color="auto"/>
            <w:bottom w:val="none" w:sz="0" w:space="0" w:color="auto"/>
            <w:right w:val="none" w:sz="0" w:space="0" w:color="auto"/>
          </w:divBdr>
        </w:div>
      </w:divsChild>
    </w:div>
    <w:div w:id="204417567">
      <w:bodyDiv w:val="1"/>
      <w:marLeft w:val="0"/>
      <w:marRight w:val="0"/>
      <w:marTop w:val="0"/>
      <w:marBottom w:val="0"/>
      <w:divBdr>
        <w:top w:val="none" w:sz="0" w:space="0" w:color="auto"/>
        <w:left w:val="none" w:sz="0" w:space="0" w:color="auto"/>
        <w:bottom w:val="none" w:sz="0" w:space="0" w:color="auto"/>
        <w:right w:val="none" w:sz="0" w:space="0" w:color="auto"/>
      </w:divBdr>
      <w:divsChild>
        <w:div w:id="1069498843">
          <w:marLeft w:val="0"/>
          <w:marRight w:val="0"/>
          <w:marTop w:val="0"/>
          <w:marBottom w:val="0"/>
          <w:divBdr>
            <w:top w:val="none" w:sz="0" w:space="0" w:color="auto"/>
            <w:left w:val="none" w:sz="0" w:space="0" w:color="auto"/>
            <w:bottom w:val="none" w:sz="0" w:space="0" w:color="auto"/>
            <w:right w:val="none" w:sz="0" w:space="0" w:color="auto"/>
          </w:divBdr>
        </w:div>
      </w:divsChild>
    </w:div>
    <w:div w:id="293292868">
      <w:bodyDiv w:val="1"/>
      <w:marLeft w:val="0"/>
      <w:marRight w:val="0"/>
      <w:marTop w:val="0"/>
      <w:marBottom w:val="0"/>
      <w:divBdr>
        <w:top w:val="none" w:sz="0" w:space="0" w:color="auto"/>
        <w:left w:val="none" w:sz="0" w:space="0" w:color="auto"/>
        <w:bottom w:val="none" w:sz="0" w:space="0" w:color="auto"/>
        <w:right w:val="none" w:sz="0" w:space="0" w:color="auto"/>
      </w:divBdr>
      <w:divsChild>
        <w:div w:id="190341694">
          <w:marLeft w:val="0"/>
          <w:marRight w:val="0"/>
          <w:marTop w:val="0"/>
          <w:marBottom w:val="0"/>
          <w:divBdr>
            <w:top w:val="none" w:sz="0" w:space="0" w:color="auto"/>
            <w:left w:val="none" w:sz="0" w:space="0" w:color="auto"/>
            <w:bottom w:val="none" w:sz="0" w:space="0" w:color="auto"/>
            <w:right w:val="none" w:sz="0" w:space="0" w:color="auto"/>
          </w:divBdr>
        </w:div>
      </w:divsChild>
    </w:div>
    <w:div w:id="346059144">
      <w:bodyDiv w:val="1"/>
      <w:marLeft w:val="0"/>
      <w:marRight w:val="0"/>
      <w:marTop w:val="0"/>
      <w:marBottom w:val="0"/>
      <w:divBdr>
        <w:top w:val="none" w:sz="0" w:space="0" w:color="auto"/>
        <w:left w:val="none" w:sz="0" w:space="0" w:color="auto"/>
        <w:bottom w:val="none" w:sz="0" w:space="0" w:color="auto"/>
        <w:right w:val="none" w:sz="0" w:space="0" w:color="auto"/>
      </w:divBdr>
      <w:divsChild>
        <w:div w:id="2081096818">
          <w:marLeft w:val="0"/>
          <w:marRight w:val="0"/>
          <w:marTop w:val="0"/>
          <w:marBottom w:val="0"/>
          <w:divBdr>
            <w:top w:val="none" w:sz="0" w:space="0" w:color="auto"/>
            <w:left w:val="none" w:sz="0" w:space="0" w:color="auto"/>
            <w:bottom w:val="none" w:sz="0" w:space="0" w:color="auto"/>
            <w:right w:val="none" w:sz="0" w:space="0" w:color="auto"/>
          </w:divBdr>
        </w:div>
      </w:divsChild>
    </w:div>
    <w:div w:id="362558875">
      <w:bodyDiv w:val="1"/>
      <w:marLeft w:val="0"/>
      <w:marRight w:val="0"/>
      <w:marTop w:val="0"/>
      <w:marBottom w:val="0"/>
      <w:divBdr>
        <w:top w:val="none" w:sz="0" w:space="0" w:color="auto"/>
        <w:left w:val="none" w:sz="0" w:space="0" w:color="auto"/>
        <w:bottom w:val="none" w:sz="0" w:space="0" w:color="auto"/>
        <w:right w:val="none" w:sz="0" w:space="0" w:color="auto"/>
      </w:divBdr>
      <w:divsChild>
        <w:div w:id="621152080">
          <w:marLeft w:val="0"/>
          <w:marRight w:val="0"/>
          <w:marTop w:val="0"/>
          <w:marBottom w:val="0"/>
          <w:divBdr>
            <w:top w:val="none" w:sz="0" w:space="0" w:color="auto"/>
            <w:left w:val="none" w:sz="0" w:space="0" w:color="auto"/>
            <w:bottom w:val="none" w:sz="0" w:space="0" w:color="auto"/>
            <w:right w:val="none" w:sz="0" w:space="0" w:color="auto"/>
          </w:divBdr>
        </w:div>
      </w:divsChild>
    </w:div>
    <w:div w:id="484593219">
      <w:bodyDiv w:val="1"/>
      <w:marLeft w:val="0"/>
      <w:marRight w:val="0"/>
      <w:marTop w:val="0"/>
      <w:marBottom w:val="0"/>
      <w:divBdr>
        <w:top w:val="none" w:sz="0" w:space="0" w:color="auto"/>
        <w:left w:val="none" w:sz="0" w:space="0" w:color="auto"/>
        <w:bottom w:val="none" w:sz="0" w:space="0" w:color="auto"/>
        <w:right w:val="none" w:sz="0" w:space="0" w:color="auto"/>
      </w:divBdr>
      <w:divsChild>
        <w:div w:id="1130395770">
          <w:marLeft w:val="0"/>
          <w:marRight w:val="0"/>
          <w:marTop w:val="0"/>
          <w:marBottom w:val="0"/>
          <w:divBdr>
            <w:top w:val="none" w:sz="0" w:space="0" w:color="auto"/>
            <w:left w:val="none" w:sz="0" w:space="0" w:color="auto"/>
            <w:bottom w:val="none" w:sz="0" w:space="0" w:color="auto"/>
            <w:right w:val="none" w:sz="0" w:space="0" w:color="auto"/>
          </w:divBdr>
        </w:div>
      </w:divsChild>
    </w:div>
    <w:div w:id="497160869">
      <w:bodyDiv w:val="1"/>
      <w:marLeft w:val="0"/>
      <w:marRight w:val="0"/>
      <w:marTop w:val="0"/>
      <w:marBottom w:val="0"/>
      <w:divBdr>
        <w:top w:val="none" w:sz="0" w:space="0" w:color="auto"/>
        <w:left w:val="none" w:sz="0" w:space="0" w:color="auto"/>
        <w:bottom w:val="none" w:sz="0" w:space="0" w:color="auto"/>
        <w:right w:val="none" w:sz="0" w:space="0" w:color="auto"/>
      </w:divBdr>
      <w:divsChild>
        <w:div w:id="850335049">
          <w:marLeft w:val="0"/>
          <w:marRight w:val="0"/>
          <w:marTop w:val="0"/>
          <w:marBottom w:val="0"/>
          <w:divBdr>
            <w:top w:val="none" w:sz="0" w:space="0" w:color="auto"/>
            <w:left w:val="none" w:sz="0" w:space="0" w:color="auto"/>
            <w:bottom w:val="none" w:sz="0" w:space="0" w:color="auto"/>
            <w:right w:val="none" w:sz="0" w:space="0" w:color="auto"/>
          </w:divBdr>
        </w:div>
      </w:divsChild>
    </w:div>
    <w:div w:id="618876904">
      <w:bodyDiv w:val="1"/>
      <w:marLeft w:val="0"/>
      <w:marRight w:val="0"/>
      <w:marTop w:val="0"/>
      <w:marBottom w:val="0"/>
      <w:divBdr>
        <w:top w:val="none" w:sz="0" w:space="0" w:color="auto"/>
        <w:left w:val="none" w:sz="0" w:space="0" w:color="auto"/>
        <w:bottom w:val="none" w:sz="0" w:space="0" w:color="auto"/>
        <w:right w:val="none" w:sz="0" w:space="0" w:color="auto"/>
      </w:divBdr>
      <w:divsChild>
        <w:div w:id="1437794802">
          <w:marLeft w:val="0"/>
          <w:marRight w:val="0"/>
          <w:marTop w:val="0"/>
          <w:marBottom w:val="0"/>
          <w:divBdr>
            <w:top w:val="none" w:sz="0" w:space="0" w:color="auto"/>
            <w:left w:val="none" w:sz="0" w:space="0" w:color="auto"/>
            <w:bottom w:val="none" w:sz="0" w:space="0" w:color="auto"/>
            <w:right w:val="none" w:sz="0" w:space="0" w:color="auto"/>
          </w:divBdr>
        </w:div>
      </w:divsChild>
    </w:div>
    <w:div w:id="1022708855">
      <w:bodyDiv w:val="1"/>
      <w:marLeft w:val="0"/>
      <w:marRight w:val="0"/>
      <w:marTop w:val="0"/>
      <w:marBottom w:val="0"/>
      <w:divBdr>
        <w:top w:val="none" w:sz="0" w:space="0" w:color="auto"/>
        <w:left w:val="none" w:sz="0" w:space="0" w:color="auto"/>
        <w:bottom w:val="none" w:sz="0" w:space="0" w:color="auto"/>
        <w:right w:val="none" w:sz="0" w:space="0" w:color="auto"/>
      </w:divBdr>
      <w:divsChild>
        <w:div w:id="1251811982">
          <w:marLeft w:val="0"/>
          <w:marRight w:val="0"/>
          <w:marTop w:val="0"/>
          <w:marBottom w:val="0"/>
          <w:divBdr>
            <w:top w:val="none" w:sz="0" w:space="0" w:color="auto"/>
            <w:left w:val="none" w:sz="0" w:space="0" w:color="auto"/>
            <w:bottom w:val="none" w:sz="0" w:space="0" w:color="auto"/>
            <w:right w:val="none" w:sz="0" w:space="0" w:color="auto"/>
          </w:divBdr>
        </w:div>
      </w:divsChild>
    </w:div>
    <w:div w:id="1084106912">
      <w:bodyDiv w:val="1"/>
      <w:marLeft w:val="0"/>
      <w:marRight w:val="0"/>
      <w:marTop w:val="0"/>
      <w:marBottom w:val="0"/>
      <w:divBdr>
        <w:top w:val="none" w:sz="0" w:space="0" w:color="auto"/>
        <w:left w:val="none" w:sz="0" w:space="0" w:color="auto"/>
        <w:bottom w:val="none" w:sz="0" w:space="0" w:color="auto"/>
        <w:right w:val="none" w:sz="0" w:space="0" w:color="auto"/>
      </w:divBdr>
      <w:divsChild>
        <w:div w:id="726103293">
          <w:marLeft w:val="0"/>
          <w:marRight w:val="0"/>
          <w:marTop w:val="0"/>
          <w:marBottom w:val="0"/>
          <w:divBdr>
            <w:top w:val="none" w:sz="0" w:space="0" w:color="auto"/>
            <w:left w:val="none" w:sz="0" w:space="0" w:color="auto"/>
            <w:bottom w:val="none" w:sz="0" w:space="0" w:color="auto"/>
            <w:right w:val="none" w:sz="0" w:space="0" w:color="auto"/>
          </w:divBdr>
        </w:div>
      </w:divsChild>
    </w:div>
    <w:div w:id="1304433059">
      <w:bodyDiv w:val="1"/>
      <w:marLeft w:val="0"/>
      <w:marRight w:val="0"/>
      <w:marTop w:val="0"/>
      <w:marBottom w:val="0"/>
      <w:divBdr>
        <w:top w:val="none" w:sz="0" w:space="0" w:color="auto"/>
        <w:left w:val="none" w:sz="0" w:space="0" w:color="auto"/>
        <w:bottom w:val="none" w:sz="0" w:space="0" w:color="auto"/>
        <w:right w:val="none" w:sz="0" w:space="0" w:color="auto"/>
      </w:divBdr>
      <w:divsChild>
        <w:div w:id="919018577">
          <w:marLeft w:val="0"/>
          <w:marRight w:val="0"/>
          <w:marTop w:val="0"/>
          <w:marBottom w:val="0"/>
          <w:divBdr>
            <w:top w:val="none" w:sz="0" w:space="0" w:color="auto"/>
            <w:left w:val="none" w:sz="0" w:space="0" w:color="auto"/>
            <w:bottom w:val="none" w:sz="0" w:space="0" w:color="auto"/>
            <w:right w:val="none" w:sz="0" w:space="0" w:color="auto"/>
          </w:divBdr>
        </w:div>
      </w:divsChild>
    </w:div>
    <w:div w:id="1394038013">
      <w:bodyDiv w:val="1"/>
      <w:marLeft w:val="0"/>
      <w:marRight w:val="0"/>
      <w:marTop w:val="0"/>
      <w:marBottom w:val="0"/>
      <w:divBdr>
        <w:top w:val="none" w:sz="0" w:space="0" w:color="auto"/>
        <w:left w:val="none" w:sz="0" w:space="0" w:color="auto"/>
        <w:bottom w:val="none" w:sz="0" w:space="0" w:color="auto"/>
        <w:right w:val="none" w:sz="0" w:space="0" w:color="auto"/>
      </w:divBdr>
      <w:divsChild>
        <w:div w:id="46807613">
          <w:marLeft w:val="0"/>
          <w:marRight w:val="0"/>
          <w:marTop w:val="0"/>
          <w:marBottom w:val="0"/>
          <w:divBdr>
            <w:top w:val="none" w:sz="0" w:space="0" w:color="auto"/>
            <w:left w:val="none" w:sz="0" w:space="0" w:color="auto"/>
            <w:bottom w:val="none" w:sz="0" w:space="0" w:color="auto"/>
            <w:right w:val="none" w:sz="0" w:space="0" w:color="auto"/>
          </w:divBdr>
        </w:div>
      </w:divsChild>
    </w:div>
    <w:div w:id="1556694053">
      <w:bodyDiv w:val="1"/>
      <w:marLeft w:val="0"/>
      <w:marRight w:val="0"/>
      <w:marTop w:val="0"/>
      <w:marBottom w:val="0"/>
      <w:divBdr>
        <w:top w:val="none" w:sz="0" w:space="0" w:color="auto"/>
        <w:left w:val="none" w:sz="0" w:space="0" w:color="auto"/>
        <w:bottom w:val="none" w:sz="0" w:space="0" w:color="auto"/>
        <w:right w:val="none" w:sz="0" w:space="0" w:color="auto"/>
      </w:divBdr>
      <w:divsChild>
        <w:div w:id="43021069">
          <w:marLeft w:val="0"/>
          <w:marRight w:val="0"/>
          <w:marTop w:val="0"/>
          <w:marBottom w:val="0"/>
          <w:divBdr>
            <w:top w:val="none" w:sz="0" w:space="0" w:color="auto"/>
            <w:left w:val="none" w:sz="0" w:space="0" w:color="auto"/>
            <w:bottom w:val="none" w:sz="0" w:space="0" w:color="auto"/>
            <w:right w:val="none" w:sz="0" w:space="0" w:color="auto"/>
          </w:divBdr>
        </w:div>
      </w:divsChild>
    </w:div>
    <w:div w:id="1629314829">
      <w:bodyDiv w:val="1"/>
      <w:marLeft w:val="0"/>
      <w:marRight w:val="0"/>
      <w:marTop w:val="0"/>
      <w:marBottom w:val="0"/>
      <w:divBdr>
        <w:top w:val="none" w:sz="0" w:space="0" w:color="auto"/>
        <w:left w:val="none" w:sz="0" w:space="0" w:color="auto"/>
        <w:bottom w:val="none" w:sz="0" w:space="0" w:color="auto"/>
        <w:right w:val="none" w:sz="0" w:space="0" w:color="auto"/>
      </w:divBdr>
      <w:divsChild>
        <w:div w:id="2032606279">
          <w:marLeft w:val="0"/>
          <w:marRight w:val="0"/>
          <w:marTop w:val="0"/>
          <w:marBottom w:val="0"/>
          <w:divBdr>
            <w:top w:val="none" w:sz="0" w:space="0" w:color="auto"/>
            <w:left w:val="none" w:sz="0" w:space="0" w:color="auto"/>
            <w:bottom w:val="none" w:sz="0" w:space="0" w:color="auto"/>
            <w:right w:val="none" w:sz="0" w:space="0" w:color="auto"/>
          </w:divBdr>
        </w:div>
      </w:divsChild>
    </w:div>
    <w:div w:id="1753508189">
      <w:bodyDiv w:val="1"/>
      <w:marLeft w:val="0"/>
      <w:marRight w:val="0"/>
      <w:marTop w:val="0"/>
      <w:marBottom w:val="0"/>
      <w:divBdr>
        <w:top w:val="none" w:sz="0" w:space="0" w:color="auto"/>
        <w:left w:val="none" w:sz="0" w:space="0" w:color="auto"/>
        <w:bottom w:val="none" w:sz="0" w:space="0" w:color="auto"/>
        <w:right w:val="none" w:sz="0" w:space="0" w:color="auto"/>
      </w:divBdr>
      <w:divsChild>
        <w:div w:id="2094158439">
          <w:marLeft w:val="0"/>
          <w:marRight w:val="0"/>
          <w:marTop w:val="0"/>
          <w:marBottom w:val="0"/>
          <w:divBdr>
            <w:top w:val="none" w:sz="0" w:space="0" w:color="auto"/>
            <w:left w:val="none" w:sz="0" w:space="0" w:color="auto"/>
            <w:bottom w:val="none" w:sz="0" w:space="0" w:color="auto"/>
            <w:right w:val="none" w:sz="0" w:space="0" w:color="auto"/>
          </w:divBdr>
        </w:div>
      </w:divsChild>
    </w:div>
    <w:div w:id="1891721457">
      <w:bodyDiv w:val="1"/>
      <w:marLeft w:val="0"/>
      <w:marRight w:val="0"/>
      <w:marTop w:val="0"/>
      <w:marBottom w:val="0"/>
      <w:divBdr>
        <w:top w:val="none" w:sz="0" w:space="0" w:color="auto"/>
        <w:left w:val="none" w:sz="0" w:space="0" w:color="auto"/>
        <w:bottom w:val="none" w:sz="0" w:space="0" w:color="auto"/>
        <w:right w:val="none" w:sz="0" w:space="0" w:color="auto"/>
      </w:divBdr>
      <w:divsChild>
        <w:div w:id="1713116117">
          <w:marLeft w:val="0"/>
          <w:marRight w:val="0"/>
          <w:marTop w:val="0"/>
          <w:marBottom w:val="0"/>
          <w:divBdr>
            <w:top w:val="none" w:sz="0" w:space="0" w:color="auto"/>
            <w:left w:val="none" w:sz="0" w:space="0" w:color="auto"/>
            <w:bottom w:val="none" w:sz="0" w:space="0" w:color="auto"/>
            <w:right w:val="none" w:sz="0" w:space="0" w:color="auto"/>
          </w:divBdr>
        </w:div>
      </w:divsChild>
    </w:div>
    <w:div w:id="1911424264">
      <w:bodyDiv w:val="1"/>
      <w:marLeft w:val="0"/>
      <w:marRight w:val="0"/>
      <w:marTop w:val="0"/>
      <w:marBottom w:val="0"/>
      <w:divBdr>
        <w:top w:val="none" w:sz="0" w:space="0" w:color="auto"/>
        <w:left w:val="none" w:sz="0" w:space="0" w:color="auto"/>
        <w:bottom w:val="none" w:sz="0" w:space="0" w:color="auto"/>
        <w:right w:val="none" w:sz="0" w:space="0" w:color="auto"/>
      </w:divBdr>
      <w:divsChild>
        <w:div w:id="1580215772">
          <w:marLeft w:val="0"/>
          <w:marRight w:val="0"/>
          <w:marTop w:val="0"/>
          <w:marBottom w:val="0"/>
          <w:divBdr>
            <w:top w:val="none" w:sz="0" w:space="0" w:color="auto"/>
            <w:left w:val="none" w:sz="0" w:space="0" w:color="auto"/>
            <w:bottom w:val="none" w:sz="0" w:space="0" w:color="auto"/>
            <w:right w:val="none" w:sz="0" w:space="0" w:color="auto"/>
          </w:divBdr>
        </w:div>
      </w:divsChild>
    </w:div>
    <w:div w:id="1944217775">
      <w:bodyDiv w:val="1"/>
      <w:marLeft w:val="0"/>
      <w:marRight w:val="0"/>
      <w:marTop w:val="0"/>
      <w:marBottom w:val="0"/>
      <w:divBdr>
        <w:top w:val="none" w:sz="0" w:space="0" w:color="auto"/>
        <w:left w:val="none" w:sz="0" w:space="0" w:color="auto"/>
        <w:bottom w:val="none" w:sz="0" w:space="0" w:color="auto"/>
        <w:right w:val="none" w:sz="0" w:space="0" w:color="auto"/>
      </w:divBdr>
      <w:divsChild>
        <w:div w:id="1492411072">
          <w:marLeft w:val="0"/>
          <w:marRight w:val="0"/>
          <w:marTop w:val="0"/>
          <w:marBottom w:val="0"/>
          <w:divBdr>
            <w:top w:val="none" w:sz="0" w:space="0" w:color="auto"/>
            <w:left w:val="none" w:sz="0" w:space="0" w:color="auto"/>
            <w:bottom w:val="none" w:sz="0" w:space="0" w:color="auto"/>
            <w:right w:val="none" w:sz="0" w:space="0" w:color="auto"/>
          </w:divBdr>
        </w:div>
      </w:divsChild>
    </w:div>
    <w:div w:id="19945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7CEAAA8073E40A2B150F0401724CF" ma:contentTypeVersion="0" ma:contentTypeDescription="Create a new document." ma:contentTypeScope="" ma:versionID="cada2d4198c493085e8bdf947bbc98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0572-4284-492C-BE3D-F43B75C5B357}">
  <ds:schemaRefs>
    <ds:schemaRef ds:uri="http://schemas.microsoft.com/office/2006/metadata/properties"/>
  </ds:schemaRefs>
</ds:datastoreItem>
</file>

<file path=customXml/itemProps2.xml><?xml version="1.0" encoding="utf-8"?>
<ds:datastoreItem xmlns:ds="http://schemas.openxmlformats.org/officeDocument/2006/customXml" ds:itemID="{75C345FC-A8B8-4E5E-B4B1-6512F4939742}">
  <ds:schemaRefs>
    <ds:schemaRef ds:uri="http://schemas.microsoft.com/sharepoint/v3/contenttype/forms"/>
  </ds:schemaRefs>
</ds:datastoreItem>
</file>

<file path=customXml/itemProps3.xml><?xml version="1.0" encoding="utf-8"?>
<ds:datastoreItem xmlns:ds="http://schemas.openxmlformats.org/officeDocument/2006/customXml" ds:itemID="{B755FF79-6C92-4CD7-97D3-CA2BF6B3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34D49F-AE35-416D-931D-E913BAF6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4601</TotalTime>
  <Pages>8</Pages>
  <Words>4251</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Hughes, Adam Lee</cp:lastModifiedBy>
  <cp:revision>108</cp:revision>
  <cp:lastPrinted>2010-09-03T14:05:00Z</cp:lastPrinted>
  <dcterms:created xsi:type="dcterms:W3CDTF">2010-08-30T14:28:00Z</dcterms:created>
  <dcterms:modified xsi:type="dcterms:W3CDTF">2010-09-03T16:50:00Z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0x0101004027CEAAA8073E40A2B150F0401724CF</vt:lpwstr>
  </property>
</Properties>
</file>